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4D_80/2007 vom 9. April 2008</w:t>
      </w:r>
    </w:p>
    <w:p>
      <w:r>
        <w:t>Bundesgericht, 2008-04-09, FR</w:t>
      </w:r>
    </w:p>
    <w:p>
      <w:r>
        <w:rPr>
          <w:b/>
        </w:rPr>
        <w:t xml:space="preserve">Quelle: </w:t>
      </w:r>
      <w:r>
        <w:t>https://mcp.opencaselaw.ch/entscheid/bger_4D_80_2007</w:t>
      </w:r>
    </w:p>
    <w:p>
      <w:r>
        <w:t>FR: TF 4D_80/2007 du 9 avril 2008</w:t>
      </w:r>
    </w:p>
    <w:p>
      <w:r>
        <w:t>IT: TF 4D_80/2007 del 9 aprile 2008</w:t>
      </w:r>
    </w:p>
    <w:p>
      <w:pPr>
        <w:pStyle w:val="Heading2"/>
      </w:pPr>
      <w:r>
        <w:t>Erwägungen</w:t>
      </w:r>
    </w:p>
    <w:p>
      <w:r>
        <w:rPr>
          <w:b/>
        </w:rPr>
        <w:t>E. 1.1</w:t>
      </w:r>
    </w:p>
    <w:p>
      <w:r>
        <w:t>Le recours est dirigé contre un jugement rendu en matière civile ( art. 72 al. 1 LTF ). La valeur litigieuse de la cause n'atteint toutefois pas le minimum légal de 30'000 fr. prévu pour le recours ordinaire en matière civile ( art. 74 al. 1 let. b LTF ) et aucun des cas de dispense prévus par l' art. 74 al. 2 LTF n'est réalisé. Partant, seul le recours constitutionnel subsidiaire ( art. 113 ss LTF ) est ouvert en l'espèce. C'est d'ailleurs cette voie que le recourant a empruntée.</w:t>
      </w:r>
    </w:p>
    <w:p>
      <w:r>
        <w:rPr>
          <w:b/>
        </w:rPr>
        <w:t>E. 1.2</w:t>
      </w:r>
    </w:p>
    <w:p>
      <w:r>
        <w:t>Interjeté par la partie demanderesse qui a succombé dans ses conclusions en paiement prises devant l'autorité précédente et qui a donc qualité pour recourir ( art. 115 LTF ; cf. ATF 133 III 421 consid. 1.1), le recours est dirigé contre une décision finale ( art. 117 et 90 al. 1 LTF ) prise par un tribunal supérieur statuant en dernière instance cantonale ( art. 114 et 75 LTF ). Déposé en temps utile ( art. 117 et 100 al. 1 LTF ) et dans les formes prévues par la loi ( art. 42 LTF ), le recours constitutionnel subsidiaire est en principe recevable.</w:t>
      </w:r>
    </w:p>
    <w:p>
      <w:r>
        <w:rPr>
          <w:b/>
        </w:rPr>
        <w:t>E. 1.3</w:t>
      </w:r>
    </w:p>
    <w:p>
      <w:r>
        <w:t>Ce recours ne peut être exercé que pour violation des droits constitutionnels ( art. 116 LTF ). Le Tribunal fédéral n'examine que les griefs soulevés et motivés de façon détaillée par la partie recourante ( art. 117 et 106 al. 2 LTF ); l'auteur du recours doit indiquer quel droit constitutionnel aurait été violé et montrer, par une argumentation circonstanciée, en quoi consiste la violation ( ATF 133 III 439 consid. 3.2 p. 444). Le Tribunal fédéral conduit son raisonnement juridique sur la base des faits établis par l'autorité précédente ( art. 118 al. 1 LTF ); il ne peut s'en écarter que si les faits ont été établis en violation d'un droit constitutionnel ( art. 118 al. 2 et 116 LTF ), ce que la partie recourante doit invoquer avec précision ( art. 117 et 106 al. 2 LTF ; ATF 133 III 439 consid. 3.2 p. 445). Aucun fait nouveau ni preuve nouvelle ne peut être présenté à moins de résulter de la décision de l'autorité précédente ( art. 117 et 99 al. 1 LTF ).</w:t>
      </w:r>
    </w:p>
    <w:p>
      <w:r>
        <w:rPr>
          <w:b/>
        </w:rPr>
        <w:t>E. 2</w:t>
      </w:r>
    </w:p>
    <w:p>
      <w:r>
        <w:t>Le recourant invoque d'abord la violation de l'interdiction de l'arbitraire ( art. 9 Cst. ).</w:t>
      </w:r>
    </w:p>
    <w:p>
      <w:r>
        <w:rPr>
          <w:b/>
        </w:rPr>
        <w:t>E. 2.1</w:t>
      </w:r>
    </w:p>
    <w:p>
      <w:r>
        <w:t>Selon la jurisprudence, une décision est arbitraire au sens de l' art. 9 Cst. lorsqu'elle est manifestement insoutenable, méconnaît gravement une norme ou un principe juridique clair et indiscuté, ou encore lorsqu'elle heurte de manière choquante le sentiment de la justice et de l'équité. Il ne suffit pas que sa motivation soit insoutenable; encore faut-il que la décision apparaisse arbitraire dans son résultat. À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préférable ( ATF 133 I 149 consid. 3.1; 132 III 209 consid. 2.1 et les arrêts cités).</w:t>
      </w:r>
    </w:p>
    <w:p>
      <w:r>
        <w:rPr>
          <w:b/>
        </w:rPr>
        <w:t>E. 2.2</w:t>
      </w:r>
    </w:p>
    <w:p>
      <w:r>
        <w:t>Avant d'examiner le grief d'arbitraire soulevé par le recourant (cf. consid. 2.3 infra), il convient de rappeler les principes applicables à la prescription, notamment à la prescription de plus longue durée du droit pénal, et à son interruption. Ces principes ont été correctement exposés par la cour cantonale et ne sont pas contestés par le recourant.</w:t>
      </w:r>
    </w:p>
    <w:p>
      <w:r>
        <w:rPr>
          <w:b/>
        </w:rPr>
        <w:t>E. 2.2.1</w:t>
      </w:r>
    </w:p>
    <w:p>
      <w:r>
        <w:t>La prescription des actions en dommages-intérêts et en réparation du tort moral qui découlent d'accidents causés par des véhicules automobiles ou des cycles est réglée par l' art. 83 al. 1 LCR (RS 741.01). En vertu de cette disposition, lesdites actions se prescrivent par deux ans à partir du jour où le lésé a eu connaissance du dommage et de la personne qui en est responsable, mais en tout cas par dix ans dès le jour de l'accident; toutefois, si les dommages-intérêts dérivent d'un acte punissable soumis par les lois pénales à une prescription de plus longue durée, cette prescription de plus longue durée s'applique à l'action civile. L'art. 83 al. 1, 2e phrase, LCR doit être interprété conformément à la jurisprudence développée en relation avec l' art. 60 al. 2 CO , dont la teneur est identique (cf. ATF 131 III 430 consid. 1.2). La prescription de plus longue durée du droit pénal s'applique aussi à l'action directe du lésé, prévue par l' art. 65 al. 1 LCR , contre l'assureur en responsabilité civile ( ATF 125 III 339 consid. 3b; 112 II 79 consid. 3; cf. ATF 122 III 225 consid. 5).</w:t>
      </w:r>
    </w:p>
    <w:p>
      <w:r>
        <w:rPr>
          <w:b/>
        </w:rPr>
        <w:t>E. 2.2.2</w:t>
      </w:r>
    </w:p>
    <w:p>
      <w:r>
        <w:t>Pour que la prescription de plus longue durée du droit pénal soit applicable, il faut que l'acte comme tel soit objectivement punissable et qu'il puisse être attribué au défendeur ( ATF 112 II 172 consid. II/2b p. 188; 106 II 213 consid. 4a). Le juge civil appliquera, à titre incident,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 ATF 122 III 225 consid. 4; 118 V 195 consid. 4a; 111 II 429 consid. I/2d p. 440; 106 II 213 consid. 3). L'application de la prescription pénale plus longue suppose aussi que l'infraction visée soit en relation de causalité naturelle et adéquate avec le préjudice donnant lieu à l'action civile ( ATF 127 III 538 consid. 4b; 122 III 5 consid. 2c et les références citées). Il faut de plus que le bien juridique lésé entre dans le cercle des biens protégés par la norme pénale considérée ( ATF 122 III 5 consid. 2c; 71 II 147 consid. 7b; Brehm, Berner Kommentar, Band VI/1/3/1, 1998, n. 67 ad art. 60 CO et les références citées).</w:t>
      </w:r>
    </w:p>
    <w:p>
      <w:r>
        <w:rPr>
          <w:b/>
        </w:rPr>
        <w:t>E. 2.2.3</w:t>
      </w:r>
    </w:p>
    <w:p>
      <w:r>
        <w:t>La prescription est interrompue, avec pour effet qu'un nouveau délai commence à courir dès l'interruption ( art. 137 al. 1 CO ), notamment lorsque le créancier fait valoir ses droits par une action devant un tribunal ( art. 135 ch. 2 CO ). Elle est ensuite interrompue et recommence à courir, durant l'instance, à compter de chaque acte judiciaire des parties et de chaque ordonnance ou décision du juge ( art. 138 al. 1 CO ). L'interruption de la prescription fait courir un nouveau délai de prescription de plus longue durée à caractère pénal, tant que la prescription de l'action pénale n'est pas intervenue; si la prescription de l'action pénale est déjà intervenue, l'interruption ne fait courir qu'un nouveau délai de prescription de droit civil ( ATF 131 III 430 consid. 1).</w:t>
      </w:r>
    </w:p>
    <w:p>
      <w:r>
        <w:rPr>
          <w:b/>
        </w:rPr>
        <w:t>E. 2.3</w:t>
      </w:r>
    </w:p>
    <w:p>
      <w:r>
        <w:t>Se plaignant d'une violation de l'interdiction de l'arbitraire ( art. 9 Cst. ), le recourant invoque le défaut d'application du délai de prescription plus long fondé sur l'acte punissable de l' art. 125 CP . Selon lui, en retenant que cette disposition n'était pas applicable au motif que les conclusions relatives aux dommages-intérêts fondés sur une telle infraction avaient été déclarées irrecevables (cf. lettre B.c.c supra), la cour cantonale aurait refusé d'examiner la question de la réalisation de l'infraction au sens de l' art. 125 CP , pour un motif arbitraire: en effet, l'irrecevabilité des conclusions relatives au dommage physique et au tort moral n'excluait pas que la prescription de plus longue durée du droit pénal ne fût pas acquise au moment de la reprise du procès le 6 avril 2006, car le recourant pouvait encore valablement chiffrer ses conclusions jusqu'aux débats.</w:t>
      </w:r>
    </w:p>
    <w:p>
      <w:r>
        <w:t>Ce grief est mal fondé et procède d'une mauvaise compréhension du jugement attaqué. Il faut en effet distinguer entre les prétentions relatives au dommage matériel d'une part et celles relatives au dommage physique et au tort moral d'autre part. La prescription de plus longue durée du droit pénal n'entre en considération que pour les secondes, puisque la propriété n'entre pas dans le cercle des biens protégés par l' art. 125 CP (cf. consid. 2.2.2 in fine supra). Or s'agissant de dommages-intérêts et de réparation morale pour atteinte à l'intégrité corporelle, les juges cantonaux ont considéré que le demandeur n'avait pris aucune conclusion recevable, en l'absence de conclusions chiffrées (cf. lettre B.c.a supra). Dans ces conditions, l'autorité précédente ne saurait se voir reprocher de n'avoir pas examiné si la prescription de plus longue durée du droit pénal était applicable à ces prétentions, puisque celles-ci étaient de toute manière irrecevables pour le motif que le recourant n'avait pris aucune conclusion chiffrée concernant le dommage physique et le tort moral. Il importe peu que le recourant ait encore pu prendre des conclusions chiffrées au moment de la reprise de la procédure le 6 avril 2006 et jusqu'aux débats du 30 mai 2007, puisqu'il est constant qu'il ne l'a pas fait et que c'est pour ce motif - dont il n'y a pas lieu d'examiner le bien-fondé en l'absence de grief (cf. consid. 1.3 supra) - que l'autorité cantonale a déclaré la demande irrecevable en tant qu'elle se rapportait au dommage physique et au tort moral.</w:t>
      </w:r>
    </w:p>
    <w:p>
      <w:r>
        <w:rPr>
          <w:b/>
        </w:rPr>
        <w:t>E. 3</w:t>
      </w:r>
    </w:p>
    <w:p>
      <w:r>
        <w:t>Le recourant invoque également une violation de son droit d'être entendu ( art. 29 al. 2 Cst. ), en raison d'un défaut de motivation du jugement entrepris.</w:t>
      </w:r>
    </w:p>
    <w:p>
      <w:r>
        <w:rPr>
          <w:b/>
        </w:rPr>
        <w:t>E. 3.1</w:t>
      </w:r>
    </w:p>
    <w:p>
      <w:r>
        <w:t>Selon la jurisprudence, le droit d'être entendu, tel qu'il est garanti par l' art. 29 al. 2 Cst. ,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il n'a toutefois pas l'obligation d'exposer et de discuter tous les faits, moyens de preuve et griefs invoqués par les parties, mais peut au contraire se limiter à ceux qui, sans arbitraire, apparaissent pertinents ( ATF 133 III 439 consid. 3.3; 129 I 232 consid. 3.2; 126 I 97 consid. 2b et les arrêts cités).</w:t>
      </w:r>
    </w:p>
    <w:p>
      <w:r>
        <w:rPr>
          <w:b/>
        </w:rPr>
        <w:t>E. 3.2</w:t>
      </w:r>
    </w:p>
    <w:p>
      <w:r>
        <w:t>En l'espèce, le recourant soutient que le jugement attaqué comporterait un défaut de motivation crasse, dès lors que l'autorité précédente n'aurait aucunement motivé les raisons l'ayant poussée à omettre d'examiner la question de la prescription de plus longue durée du droit pénal et, corollairement, la réalisation de l'infraction pénale au sens de l' art. 125 CP .</w:t>
      </w:r>
    </w:p>
    <w:p>
      <w:r>
        <w:t>Ce grief est dénué de fondement. La cour cantonale n'a en effet pas omis d'indiquer les motifs pour lesquels il n'y avait pas lieu d'examiner la question de la prescription de plus longue durée des dommages-intérêts dérivant d'un acte punissable au sens de l' art. 125 CP . Elle a exposé en substance, dans une motivation brève mais parfaitement claire (cf. lettre B.c.c supra), que cette prescription plus longue ne s'appliquerait le cas échéant qu'aux dommages-intérêts et à la réparation morale pour atteinte à l'intégrité corporelle et que la demande était de toute manière irrecevable sur ce point pour le motif que le recourant n'avait pris aucune conclusion chiffrée relative au dommage physique et au tort moral (cf. consid. 2.3 supra).</w:t>
      </w:r>
    </w:p>
    <w:p>
      <w:r>
        <w:rPr>
          <w:b/>
        </w:rPr>
        <w:t>E. 4</w:t>
      </w:r>
    </w:p>
    <w:p>
      <w:r>
        <w:t>Il résulte de ce qui précède que le recours, mal fondé, doit être rejeté. Le recourant, qui succombe, supportera les frais judiciaires ( art. 66 al. 1 LTF ) et versera à l'intimée Y.________ Assurances une indemnité à titre de dépens pour ses déterminations sur le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