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4D_7/2026 vom 10. Februar 2026</w:t>
      </w:r>
    </w:p>
    <w:p>
      <w:r>
        <w:t>Bundesgericht, 2026-02-10, DE</w:t>
      </w:r>
    </w:p>
    <w:p>
      <w:r>
        <w:rPr>
          <w:b/>
        </w:rPr>
        <w:t xml:space="preserve">Quelle: </w:t>
      </w:r>
      <w:r>
        <w:t>https://mcp.opencaselaw.ch/entscheid/bger_4D_7_2026</w:t>
      </w:r>
    </w:p>
    <w:p>
      <w:r>
        <w:t>FR: TF 4D_7/2026 du 10 février 2026</w:t>
      </w:r>
    </w:p>
    <w:p>
      <w:r>
        <w:t>IT: TF 4D_7/2026 del 10 febbraio 2026</w:t>
      </w:r>
    </w:p>
    <w:p>
      <w:pPr>
        <w:pStyle w:val="Heading2"/>
      </w:pPr>
      <w:r>
        <w:t>Erwägungen</w:t>
      </w:r>
    </w:p>
    <w:p>
      <w:r>
        <w:rPr>
          <w:b/>
        </w:rPr>
        <w:t>E. 1</w:t>
      </w:r>
    </w:p>
    <w:p>
      <w:r>
        <w:t>Mit Urteil vom 1. Oktober 2025 erteilte das Bezirksgericht Bülach der Beschwerdegegnerin definitive Rechtsöffnung für Fr. 10'682.10 nebst Zins zu 5% ab 17. April 2025.</w:t>
      </w:r>
    </w:p>
    <w:p>
      <w:r>
        <w:t>Mit Beschluss vom 15. Dezember 2025 wies das Obergericht des Kantons Zürich das Gesuch des Beschwerdeführers um Wiederherstellung der Beschwerdefrist ab und trat auf seine Beschwerde gegen das Rechtsöffnungsurteil nicht ein.</w:t>
      </w:r>
    </w:p>
    <w:p>
      <w:r>
        <w:t>Dagegen erhob der Beschwerdeführer am 9. Januar 2026 Beschwerde an das Bundesgericht.</w:t>
      </w:r>
    </w:p>
    <w:p>
      <w:r>
        <w:t>Es wurden keine Vernehmlassungen eingeholt.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Der Beschwerdeführer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