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4D_7/2024 vom 5. Februar 2024</w:t>
      </w:r>
    </w:p>
    <w:p>
      <w:r>
        <w:t>Bundesgericht, 2024-02-05, DE</w:t>
      </w:r>
    </w:p>
    <w:p>
      <w:r>
        <w:rPr>
          <w:b/>
        </w:rPr>
        <w:t xml:space="preserve">Quelle: </w:t>
      </w:r>
      <w:r>
        <w:t>https://mcp.opencaselaw.ch/entscheid/bger_4D_7_2024</w:t>
      </w:r>
    </w:p>
    <w:p>
      <w:r>
        <w:t>FR: TF 4D_7/2024 du 5 février 2024</w:t>
      </w:r>
    </w:p>
    <w:p>
      <w:r>
        <w:t>IT: TF 4D_7/2024 del 5 febbraio 2024</w:t>
      </w:r>
    </w:p>
    <w:p>
      <w:pPr>
        <w:pStyle w:val="Heading2"/>
      </w:pPr>
      <w:r>
        <w:t>Erwägungen</w:t>
      </w:r>
    </w:p>
    <w:p>
      <w:r>
        <w:rPr>
          <w:b/>
        </w:rPr>
        <w:t>E. 1.1</w:t>
      </w:r>
    </w:p>
    <w:p>
      <w:r>
        <w:t>B.________, geboren am (...) (Beschwerdegegnerin) gesetzlich vertreten durch ihre Mutter C.________, vertreten durch die Einwohnergemeinde U.________, betrieb A.________ (Beschwerdeführer) für ausstehende Unterhaltsbeiträge von Dezember 2017 bis Juni 2022 in der Höhe von Fr. 24'428.-- zzgl. Zins zu 3% seit dem 1. Juli 2022. Die Beschwerdegegnerin ersuchte das Regionalgericht Emmental-Oberaargau am 7. August 2023 um definitive Rechtsöffnung in der entsprechenden Betreibung Nr. xxx des Betreibungsamts Emmental-Oberaargau.</w:t>
      </w:r>
    </w:p>
    <w:p>
      <w:r>
        <w:rPr>
          <w:b/>
        </w:rPr>
        <w:t>E. 1.2</w:t>
      </w:r>
    </w:p>
    <w:p>
      <w:r>
        <w:t>Das Regionalgericht erteilte mit Entscheid vom 20. November 2023 definitive Rechtsöffnung im Umfang von Fr. 24'428.-- zzgl. Zins von 3% seit dem 30. November 2022. Es stützte sich dabei auf die von der KESB am 12. Dezember 2013 genehmigte Unterhaltsvereinbarung vom 4. November 2013 als definitiven Rechtsöffnungstitel im Sinne von Art. 80 Abs. 2 Ziff. 1 SchKG und berücksichtigte die vom Beschwerdeführer geleisteten Teilzahlungen. Es erwog, ein Grund für die Nichtigkeit dieser Vereinbarung liege nicht vor und die vom Beschwerdeführer eingereichten Unterlagen würden weder Tilgung, Stundung noch Verjährung der Forderung belegen. Soweit der Beschwerdeführer sinngemäss eine Zahlungsunfähigkeit eingewendet hatte, verwies das Regionalgericht ihn hinsichtlich der Berücksichtigung des Existenzminimums in der Pfändung an das zuständige Betreibungsamt.</w:t>
      </w:r>
    </w:p>
    <w:p>
      <w:r>
        <w:rPr>
          <w:b/>
        </w:rPr>
        <w:t>E. 1.3</w:t>
      </w:r>
    </w:p>
    <w:p>
      <w:r>
        <w:t>Mit Entscheid vom 14. Dezember 2023 trat das Obergericht des Kantons Bern auf die gegen den Rechtsöffnungsentscheid des Regionalgerichts geführte Beschwerde des Beschwerdeführers mangels hinreichender Begründung nicht ein.</w:t>
      </w:r>
    </w:p>
    <w:p>
      <w:r>
        <w:rPr>
          <w:b/>
        </w:rPr>
        <w:t>E. 1.4</w:t>
      </w:r>
    </w:p>
    <w:p>
      <w:r>
        <w:t>Mit Eingabe vom 11. Januar 2024 (Postaufgabe 15. Januar 2024) erklärte der Beschwerdeführer dem Bundesgericht, den Entscheid des Obergerichts des Kantons Bern vom 14. Dezember 2023 mit Beschwerde anfechten zu wollen. Er beantragt die Abweisung des Gesuchs um definitive Rechtsöffnung und die Anpassung der Unterhaltsvereinbarung vom 4. November 2013 an sein aktuelles Einkommen. Zudem ersucht er um Erteilung der unentgeltlichen Rechtspflege für das bundesgerichtliche Verfahren.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2.4.1</w:t>
      </w:r>
    </w:p>
    <w:p>
      <w:r>
        <w:t>Die Beschwerde erfüllt die genannten Begründungsanforderungen offensichtlich nicht. Der Beschwerdeführer beschränkt sich im Wesentlichen darauf, seine bereits vorinstanzlich geäusserten Vorbringen zur Berechnung seines Existenzminimums bzw. zum "Mangelfall" zu wiederholen. Er berücksichtigt nicht, dass genau diese Begründung bereits von der Vorinstanz als ungenügend und als nicht auf den Streitgegenstand bezogen qualifiziert wurde. Damit setzt sich der Beschwerdeführer nicht auseinander. Er zeigt nicht unter Bezugnahme auf die Erwägungen des angefochtenen Entscheids auf, inwiefern die Vorinstanz mit der Anwendung der Begründungsanforderungen gemäss Art. 321 Abs. 1 ZPO verfassungsmässige Rechte verletzt haben soll.</w:t>
      </w:r>
    </w:p>
    <w:p>
      <w:r>
        <w:rPr>
          <w:b/>
        </w:rPr>
        <w:t>E. 2.4.2</w:t>
      </w:r>
    </w:p>
    <w:p>
      <w:r>
        <w:t>Offensichtlich nicht hinreichend begründet sind auch die Vorbringen des Beschwerdeführers, die Unterhaltsforderungen hätten erst ab dem Zeitpunkt der Aufforderung durch die Alimentenhilfestelle am 1. Mai 2023 " betreibungsrechtliche Gültigkeit " und die in Betreibung gesetzten Forderungen vom Dezember 2017 bis Juni 2022 seien verjährt bzw. verwirkt. Der Beschwerdeführer legt auch diesbezüglich nicht hinreichend dar, worin eine Verletzung verfassungsmässiger Rechte begründet sein soll. So macht er etwa nicht geltend, die Vorinstanz habe diese Einrede bzw. Einwendung unter Verletzung verfassungsmässiger Rechte nicht berücksichtigt. Soweit nachvollziehbar betreffen die Ausführungen des Beschwerdeführers die Verletzung von Art. 128 Ziff. 1 OR hinsichtlich Verjährung oder Art. 279 Abs. 1 ZGB hinsichtlich Frist zur Klageerhebung und damit die Anwendung von Bundesrecht, die nicht mit subsidiärer Verfassungsbeschwerde beanstandet werden kann.</w:t>
      </w:r>
    </w:p>
    <w:p>
      <w:r>
        <w:rPr>
          <w:b/>
        </w:rPr>
        <w:t>E. 2.4.3</w:t>
      </w:r>
    </w:p>
    <w:p>
      <w:r>
        <w:t>Offensichtlich unzulässig ist der Antrag des Beschwerdeführers um Anpassung der Unterhaltsvereinbarung, der nicht Gegenstand des vorliegenden Verfahrens um definitive Rechtsöffnung für fällige Unterhaltsbeiträge bildet.</w:t>
      </w:r>
    </w:p>
    <w:p>
      <w:r>
        <w:rPr>
          <w:b/>
        </w:rPr>
        <w:t>E. 2.5</w:t>
      </w:r>
    </w:p>
    <w:p>
      <w:r>
        <w:t>Auf die Beschwerde ist somit im vereinfachten Verfahren nicht einzutreten ( Art. 108 Abs. 1 lit. a und b BGG ).</w:t>
      </w:r>
    </w:p>
    <w:p>
      <w:r>
        <w:rPr>
          <w:b/>
        </w:rPr>
        <w:t>E. 3</w:t>
      </w:r>
    </w:p>
    <w:p>
      <w:r>
        <w:t>Das Begehren um Gewährung der unentgeltlichen Rechtspflege für das bundesgerichtliche Verfahren ist abzuweisen, weil die Beschwerde von vornherein aussichtslos war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