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4D_77/2025 vom 6. Juni 2025</w:t>
      </w:r>
    </w:p>
    <w:p>
      <w:r>
        <w:t>Bundesgericht, 2025-06-06, DE</w:t>
      </w:r>
    </w:p>
    <w:p>
      <w:r>
        <w:rPr>
          <w:b/>
        </w:rPr>
        <w:t xml:space="preserve">Quelle: </w:t>
      </w:r>
      <w:r>
        <w:t>https://mcp.opencaselaw.ch/entscheid/bger_4D_77_2025</w:t>
      </w:r>
    </w:p>
    <w:p>
      <w:r>
        <w:t>FR: TF 4D_77/2025 du 6 juin 2025</w:t>
      </w:r>
    </w:p>
    <w:p>
      <w:r>
        <w:t>IT: TF 4D_77/2025 del 6 giugno 2025</w:t>
      </w:r>
    </w:p>
    <w:p>
      <w:pPr>
        <w:pStyle w:val="Heading2"/>
      </w:pPr>
      <w:r>
        <w:t>Erwägungen</w:t>
      </w:r>
    </w:p>
    <w:p>
      <w:r>
        <w:rPr>
          <w:b/>
        </w:rPr>
        <w:t>E. 1</w:t>
      </w:r>
    </w:p>
    <w:p>
      <w:r>
        <w:t>Mit Entscheid vom 26. September 2024 erteilte das Kantonsgericht Nidwalden dem Beschwerdegegner in der Betreibung Nr. xxx des Betreibungsamts Nidwalden für Fr. 5'200.-- nebst 5 % Zins seit dem 8. Januar 2024 die definitive Rechtsöffnung. Dagegen erhob der Beschwerdeführer Beschwerde an das Obergericht Nidwalden. Mit Urteil vom 7. April 2025 trat das Obergericht auf die Beschwerde des Beschwerdeführers nicht ein.</w:t>
      </w:r>
    </w:p>
    <w:p>
      <w:r>
        <w:t>Gegen diesen Entscheid erhebt der Beschwerdeführer mit Eingabe vom 17. April 2025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rPr>
          <w:b/>
        </w:rPr>
        <w:t>E. 2.2</w:t>
      </w:r>
    </w:p>
    <w:p>
      <w:r>
        <w:t>Der Beschwerdeführer behauptet nicht, zumindest offensichtlich nicht hinreichend,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4.1</w:t>
      </w:r>
    </w:p>
    <w:p>
      <w:r>
        <w:t>Auf die Rügen der Verletzung von einfachem Bundesrecht und kantonalem Recht, kann von vornherein nicht eingetreten werden, da es sich hierbei nicht um die Verletzung verfassungsmässiger Rechte handelt (Erwägung 3.1).</w:t>
      </w:r>
    </w:p>
    <w:p>
      <w:r>
        <w:rPr>
          <w:b/>
        </w:rPr>
        <w:t>E. 4.2</w:t>
      </w:r>
    </w:p>
    <w:p>
      <w:r>
        <w:t>Im Übrigen erfüllt die Eingabe des Beschwerdeführers die oben genannten Begründungsanforderungen offensichtlich nicht. Er rügt zwar insbesondere eine Verletzung von Art. 9 BV , Art. 29 Abs. 2 BV und Art. 6 EMRK und erklärt, dass der Rechtsöffnungstitel und die "Folge-Verfahren" nichtig seien. Er geht in seiner Eingabe jedoch nicht hinreichend konkret auf die Erwägungen der Vorinstanz ein, geschweige denn zeigt er nachvollziehbar auf, inwiefern die Vorinstanz mit ihrem Entscheid die genannten Bestimmungen verletzt haben soll, als diese auf seine Beschwerde mangels Bezahlung des Gerichtskostenvorschusses nicht eintrat.</w:t>
      </w:r>
    </w:p>
    <w:p>
      <w:r>
        <w:t>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