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75/2011 vom 9. Dezember 2011</w:t>
      </w:r>
    </w:p>
    <w:p>
      <w:r>
        <w:t>Bundesgericht, 2011-12-09, FR</w:t>
      </w:r>
    </w:p>
    <w:p>
      <w:r>
        <w:rPr>
          <w:b/>
        </w:rPr>
        <w:t xml:space="preserve">Quelle: </w:t>
      </w:r>
      <w:r>
        <w:t>https://mcp.opencaselaw.ch/entscheid/bger_4D_75_2011</w:t>
      </w:r>
    </w:p>
    <w:p>
      <w:r>
        <w:t>FR: TF 4D 75/2011 du 9 décembre 2011</w:t>
      </w:r>
    </w:p>
    <w:p>
      <w:r>
        <w:t>IT: TF 4D 75/2011 del 9 dicembre 2011</w:t>
      </w:r>
    </w:p>
    <w:p>
      <w:pPr>
        <w:pStyle w:val="Heading2"/>
      </w:pPr>
      <w:r>
        <w:t>Regeste</w:t>
      </w:r>
    </w:p>
    <w:p>
      <w:r>
        <w:t>contrat d'entreprise; modifications, forme réservée dans le contrat | Droit des contrats</w:t>
      </w:r>
    </w:p>
    <w:p>
      <w:pPr>
        <w:pStyle w:val="Heading2"/>
      </w:pPr>
      <w:r>
        <w:t>Erwägungen</w:t>
      </w:r>
    </w:p>
    <w:p>
      <w:r>
        <w:rPr>
          <w:b/>
        </w:rPr>
        <w:t>E. 1</w:t>
      </w:r>
    </w:p>
    <w:p>
      <w:r>
        <w:t>La décision attaquée relève de la matière civile ( art. 72 al. 1 LTF ). Toutefois, la valeur litigieuse n'atteint pas le minimum légal de 30'000 fr. ( art. 51 al. 1 let. a et art. 74 al. 1 let. b LTF ), étant précisé qu'il n'y a pas lieu d'additionner la valeur du gage à celle de la créance qu'il garantit (cf. ATF 55 II 39 consid. 1; DONZALLAZ, Loi sur le Tribunal fédéral, 2008, n° 1412 ad art. 51 LTF ; POUDRET/SANDOZ-MONOD, Commentaire de la loi fédérale d'organisation judiciaire, vol. II, 1990, p. 246 n° 1.2.1 ad art. 47 OJ ). En conséquence, la cause ne peut être l'objet que d'un recours constitutionnel subsidiaire ( art. 113 LTF ). Les conditions de recevabilité de ce recours extraordinaire sont par ailleurs satisfaites.</w:t>
      </w:r>
    </w:p>
    <w:p>
      <w:r>
        <w:rPr>
          <w:b/>
        </w:rPr>
        <w:t>E. 2.1</w:t>
      </w:r>
    </w:p>
    <w:p>
      <w:r>
        <w:t>Seule la violation des droits constitutionnels - telle l'application arbitraire du droit fédéral - peut être invoquée à l'appui de ce recours ( art. 116 LTF ; ATF 134 III 379 consid. 1.2 p. 383). Le Tribunal fédéral ne se saisit que des griefs soulevés et motivés de façon détaillée par la partie recourante ( art. 106 al. 2 LTF , par renvoi de l' art. 117 LTF ; ATF 134 II 244 consid. 2.2). Il statue sur la base des faits constatés dans la décision attaquée, sauf si la partie recourante fait valoir de façon circonstanciée que les constatations de fait sont elles-mêmes contraires à des droits constitutionnels ( art. 118 LTF en relation avec l' art. 116 LTF ; ATF 133 III 393 consid. 7.1).</w:t>
      </w:r>
    </w:p>
    <w:p>
      <w:r>
        <w:rPr>
          <w:b/>
        </w:rPr>
        <w:t>E. 2.2</w:t>
      </w:r>
    </w:p>
    <w:p>
      <w:r>
        <w:t>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(cf. ATF 133 III 462 consid. 4.4.1). Pour qu'une décision soit annulée au titre de l'arbitraire, il ne suffit pas qu'elle se fonde sur une motivation insoutenable; encore faut-il qu'elle apparaisse arbitraire dans son résultat ( ATF 137 I 1 consid. 2.4).</w:t>
      </w:r>
    </w:p>
    <w:p>
      <w:r>
        <w:rPr>
          <w:b/>
        </w:rPr>
        <w:t>E. 3.1</w:t>
      </w:r>
    </w:p>
    <w:p>
      <w:r>
        <w:t>Le recourant reproche à la cour vaudoise d'avoir interprété de façon arbitraire le contrat d'entreprise en considérant que l'exigence de forme écrite ne s'appliquait pas aux travaux de fouille séparée rendus nécessaires par des exigences de tiers. La cour aurait violé gravement le principe de la confiance et aurait tiré des déductions insoutenables au vu de la teneur du contrat.</w:t>
      </w:r>
    </w:p>
    <w:p>
      <w:r>
        <w:rPr>
          <w:b/>
        </w:rPr>
        <w:t>E. 3.2.1</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 ATF 131 III 606 consid. 4.2). Il n'y a pas lieu de s'écarter du texte littéral sans raisons sérieuses ( ATF 130 III 417 consid. 3.2 p. 425).</w:t>
      </w:r>
    </w:p>
    <w:p>
      <w:r>
        <w:rPr>
          <w:b/>
        </w:rPr>
        <w:t>E. 3.2.2</w:t>
      </w:r>
    </w:p>
    <w:p>
      <w:r>
        <w:t>L' art. 16 al. 1 CO institue une présomption selon laquelle l'exigence de forme est une condition de validité de l'acte juridique (KRAMER/SCHMIDLIN, Berner Kommentar, 1986, nos 25 ss et 35 ad art. 16 CO ). Cette présomption peut notamment être renversée par la preuve que le vice ne porte pas sérieusement atteinte au but de protection assigné à l'exigence de forme, respectivement par la preuve que les parties ont après coup renoncé à la réserve formelle, expressément ou par actes concluants, par exemple en exécutant les prestations nonobstant le vice (KRAMER/SCHMIDLIN, op. cit., n°s 38 et 44 s. ad art. 16 CO ).</w:t>
      </w:r>
    </w:p>
    <w:p>
      <w:r>
        <w:rPr>
          <w:b/>
        </w:rPr>
        <w:t>E. 3.3</w:t>
      </w:r>
    </w:p>
    <w:p>
      <w:r>
        <w:t>Les travaux litigieux n'étaient pas prévus par le descriptif du contrat et de ses parties intégrantes (devis, conditions d'appel d'offres) sur la base desquels le prix forfaitaire avait été calculé; il y était question d'une fouille commune pour tous les raccordements. Dans la mesure où des fouilles distinctes ont finalement été réalisées, la cour cantonale pouvait sans arbitraire considérer qu'il y avait eu une modification de commande donnant cas échéant le droit à une rémunération supplémentaire par rapport au prix forfaitaire convenu (PETER GAUCH, Der Werkvertrag, 5e éd. 2011, nos 905a-906). Se pose la question de savoir si cette modification de commande devait être passée en la forme écrite (cf. GAUCH, op. cit., n° 770 s.).</w:t>
      </w:r>
    </w:p>
    <w:p>
      <w:r>
        <w:rPr>
          <w:b/>
        </w:rPr>
        <w:t>E. 3.4</w:t>
      </w:r>
    </w:p>
    <w:p>
      <w:r>
        <w:t>Le contrat du 31 mai 2007 soumettait à l'exigence du devis complémentaire signé toute "plus-value" autre que les travaux au sous-sol de la villa demandés par le maître, lesquels étaient manifestement pris en compte dans le prix convenu. La Chambre des recours a considéré que l'exigence de forme écrite visait à éviter de placer le maître de l'ouvrage devant un fait accompli et à le protéger contre des prétentions imprévues de l'entrepreneur relatives à des travaux qui n'auraient pas été commandés; à son sens, la clause de forme visait une situation différente de celle du cas d'espèce, où les travaux litigieux avaient été rendus nécessaires par les exigences de tiers et avaient été expressément demandés par l'architecte du maître. Elle en a déduit que la modification de commande ne requérait aucune forme particulière. Ce point de vue peut certes se discuter. Dans le contexte d'un contrat à prix forfaitaire, l'expression "plus-value" paraît plutôt viser une augmentation du prix des travaux en raison d'imprévus. Les travaux supplémentaires litigieux n'étaient pas prévus et entraînaient précisément un surcoût. Même si le recourant n'avait guère d'autre choix que d'effectuer ces travaux, il faut avoir égard au fait que le contrat lui conférait le droit de confier à une tierce entreprise les travaux non prévus par le cahier des charges, et partant, le droit d'examiner la possibilité d'une meilleure offre. L'on pourrait ainsi soutenir, comme le fait le recourant, que l'exigence d'un devis signé s'appliquait même pour des travaux nécessaires. Cela étant, le simple fait qu'une autre solution puisse se défendre, voire même apparaître préférable, ne signifie pas que celle défendue par la cour cantonale soit arbitraire. En l'occurrence, l'on ne saurait considérer que l'interprétation de la cour cantonale heurte le sentiment de la justice et de l'équité (cf. ATF 137 I 1 consid. 2.4).</w:t>
      </w:r>
    </w:p>
    <w:p>
      <w:r>
        <w:rPr>
          <w:b/>
        </w:rPr>
        <w:t>E. 3.5</w:t>
      </w:r>
    </w:p>
    <w:p>
      <w:r>
        <w:t>Le recourant plaide qu'il n'a pas pu donner son accord même oral à la modification de commande litigieuse dès lors qu'il n'a pas participé aux réunions de chantier où la question des travaux a été abordée. La cour cantonale n'a nullement méconnu cet aspect; elle a relevé que le recourant avait reçu copie des procès-verbaux des réunions de chantier au cours desquelles l'intimée avait été invitée à effectuer des travaux différents de ceux qui avaient été convenus. Le recourant ne cherche pas à démontrer en quoi il serait arbitraire de déduire son consentement fondé sur la prise de connaissance des procès-verbaux. Il n'y a ainsi pas à examiner cette question. Or, s'il faut admettre que le recourant a accepté tacitement les travaux supplémentaires effectués par l'intimée, cela implique aussi qu'il a renoncé tacitement à l'exigence de forme conventionnelle, dans l'hypothèse où celle-ci aurait été applicable. En bref, la cour cantonale n'a pas versé dans l'arbitraire en concluant que les travaux de fouille séparée devaient être mis à la charge du recourant sans égard à l'absence de devis complémentaire signé. Au vu de ce qui précède, il n'est pas nécessaire d'examiner plus avant si l'architecte avait le pouvoir de représenter le recourant, respectivement si la cour cantonale a enfreint le droit d'être entendu du recourant en ne répondant pas expressément aux arguments soulevés en relation avec cette question.</w:t>
      </w:r>
    </w:p>
    <w:p>
      <w:r>
        <w:rPr>
          <w:b/>
        </w:rPr>
        <w:t>E. 3.6</w:t>
      </w:r>
    </w:p>
    <w:p>
      <w:r>
        <w:t>Le recourant conteste le montant des travaux mis à sa charge en objectant de manière laconique que la confection de deux chambres de visite était prévue par le permis de construire et partant incluse dans le prix forfaitaire, de sorte qu'il n'avait pas à en supporter le coût y afférent. La facture relative aux travaux supplémentaires (rubrique A) mentionne entre autres la "confection de chambre de visite selon directive de la commune". Il est exact que la confection de deux chambres distinctes pour les eaux claires et les eaux usées était imposée par le permis de construire initial, de sorte que cet élément devait être couvert par le prix forfaitaire. Cela étant, l'expert n'a pas méconnu les exigences du permis de construire. Après avoir examiné les pièces du dossier, qui comprenait notamment les conditions de l'appel d'offres et les devis, l'expert a tenu compte de la modification de commande d'une part en réduisant le prix forfaitaire et d'autre part en admettant un surcoût, retenant en définitive un montant total de 48'425 fr. 95 (soit 36'387 fr. 95 et 12'038 fr.) au lieu des 44'000 fr. initialement fixés. Le recourant ne s'attache pas à démontrer de façon circonstanciée que l'expert aurait comptabilisé deux fois le travail relatif aux chambres, et une telle conclusion ne s'impose nullement de façon évidente. En conséquence, la cour cantonale pouvait sans arbitraire mettre à la charge du recourant le montant de 12'038 fr.</w:t>
      </w:r>
    </w:p>
    <w:p>
      <w:r>
        <w:rPr>
          <w:b/>
        </w:rPr>
        <w:t>E. 3.6.1</w:t>
      </w:r>
    </w:p>
    <w:p>
      <w:r>
        <w:t>Le recourant conteste enfin devoir supporter le coût des travaux de mise en place de terre végétale et de terrassement du garage. Il soutient que sa seule présence à la séance de chantier du 2 novembre 2007 n'impliquait pas une renonciation de sa part à l'exigence d'un devis complémentaire signé.</w:t>
      </w:r>
    </w:p>
    <w:p>
      <w:r>
        <w:rPr>
          <w:b/>
        </w:rPr>
        <w:t>E. 3.6.2</w:t>
      </w:r>
    </w:p>
    <w:p>
      <w:r>
        <w:t>La cour cantonale a considéré, comme le premier juge, que les travaux en question n'avaient pas de rapport direct avec le contrat d'entreprise du 31 mai 2007 et qu'ils échappaient à l'exigence de forme. On ne dénote pas en quoi une telle conclusion serait entachée d'arbitraire, ce que le recourant ne plaide pas. Il se contente tout au plus de contester l'existence d'un accord des parties. Le procès-verbal du 2 novembre 2007 constate qu'en présence du recourant, il a été demandé à l'intimée de prévoir la mise en place de terre végétale dans la zone ouest de la villa. Il n'est pas insoutenable de déduire d'une telle mention que le recourant a passé une commande, qui a été acceptée par l'intimée. A cela s'ajoute que les détails de l'exécution des travaux ont encore fait l'objet d'une séance ultérieure, ce qui a été constaté au procès-verbal du 16 novembre 2007, auquel le recourant n'a pas réagi. La cour cantonale pouvait dès lors sans arbitraire retenir l'existence d'un accord oral valable sur des travaux sortant du champ d'application du contrat d'entreprise et mettre le coût de ces travaux, admis par l'expert à hauteur de 4'150 fr., à la charge du recourant.</w:t>
      </w:r>
    </w:p>
    <w:p>
      <w:r>
        <w:rPr>
          <w:b/>
        </w:rPr>
        <w:t>E. 4</w:t>
      </w:r>
    </w:p>
    <w:p>
      <w:r>
        <w:t>Le recourant, qui succombe, supportera les frais judiciaires ( art. 66 al. 1 LTF ). Il n'a pas à verser de dépens à l'intimée, qui a renoncé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