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4D_74/2025 vom 12. Juni 2025</w:t>
      </w:r>
    </w:p>
    <w:p>
      <w:r>
        <w:t>Bundesgericht, 2025-06-12, DE</w:t>
      </w:r>
    </w:p>
    <w:p>
      <w:r>
        <w:rPr>
          <w:b/>
        </w:rPr>
        <w:t xml:space="preserve">Quelle: </w:t>
      </w:r>
      <w:r>
        <w:t>https://mcp.opencaselaw.ch/entscheid/bger_4D_74_2025</w:t>
      </w:r>
    </w:p>
    <w:p>
      <w:r>
        <w:t>FR: TF 4D_74/2025 du 12 juin 2025</w:t>
      </w:r>
    </w:p>
    <w:p>
      <w:r>
        <w:t>IT: TF 4D_74/2025 del 12 giugno 2025</w:t>
      </w:r>
    </w:p>
    <w:p>
      <w:pPr>
        <w:pStyle w:val="Heading2"/>
      </w:pPr>
      <w:r>
        <w:t>Erwägungen</w:t>
      </w:r>
    </w:p>
    <w:p>
      <w:r>
        <w:rPr>
          <w:b/>
        </w:rPr>
        <w:t>E. 1</w:t>
      </w:r>
    </w:p>
    <w:p>
      <w:r>
        <w:t>Mit Eingabe vom 30. Oktober 2024 beantragte der Beschwerdegegner 1, es sei ihm in der Betreibung Nr. xxx des Betreibungsamts Bern-Mittelland, Dienststelle Mittelland, für den Betrag von Fr. 2'320.05 für Kantons- und Gemeindesteuern für das Jahr 2022 nebst Zins zu 3% seit 13. September 2024, Fr. 25.85 Verzugszins "nicht verbucht", Fr. 40.-- Bussen und Gebühren und Fr. 60.-- Mahngebühren die definitive Rechtsöffnung zu erteilen. Gleichentags beantragte der Beschwerdegegner 2, es sei ihm in der Betreibung Nr. yyy des Betreibungsamts Bern-Mittelland, Dienststelle Mittelland, für den Betrag von Fr. 65.-- für die Direkte Bundessteuer für das Jahr 2022 nebst 4.75% Zins seit 13. September 2024, sowie Fr. 1.10 Verzugszins "nicht verbucht" und Fr. 60.-- Mahngebühr die definitive Rechtsöffnung zu erteilen. Mit Entscheiden vom 13. Januar 2025 erteilte das Regionalgericht Bern-Mittelland die definitive Rechtsöffnung für die beantragten Beträge.</w:t>
      </w:r>
    </w:p>
    <w:p>
      <w:r>
        <w:t>Gegen diese Entscheide erhob der Beschwerdeführer Beschwerden an das Obergericht des Kantons Bern. Das Obergericht vereinigte die beiden Verfahren und wies die Beschwerden ab, soweit er darauf eintrat.</w:t>
      </w:r>
    </w:p>
    <w:p>
      <w:r>
        <w:t>Gegen den Entscheid des Obergerichts erhebt der Beschwerdeführer mit Eingabe vom 14. April 2025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2.2</w:t>
      </w:r>
    </w:p>
    <w:p>
      <w:r>
        <w:t>Der Beschwerdeführer behauptet nicht, zumindest offensichtlich nicht hinreichend,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5</w:t>
      </w:r>
    </w:p>
    <w:p>
      <w:r>
        <w:t>Bei diesem Ausgang des Verfahrens sind die Gerichtskosten dem Beschwerdeführer aufzuerlegen ( Art. 66 Abs. 1 BGG ).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