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4D_73/2025 vom 7. Mai 2025</w:t>
      </w:r>
    </w:p>
    <w:p>
      <w:r>
        <w:t>Bundesgericht, 2025-05-07, DE</w:t>
      </w:r>
    </w:p>
    <w:p>
      <w:r>
        <w:rPr>
          <w:b/>
        </w:rPr>
        <w:t xml:space="preserve">Quelle: </w:t>
      </w:r>
      <w:r>
        <w:t>https://mcp.opencaselaw.ch/entscheid/bger_4D_73_2025</w:t>
      </w:r>
    </w:p>
    <w:p>
      <w:r>
        <w:t>FR: TF 4D_73/2025 du 7 mai 2025</w:t>
      </w:r>
    </w:p>
    <w:p>
      <w:r>
        <w:t>IT: TF 4D_73/2025 del 7 maggio 2025</w:t>
      </w:r>
    </w:p>
    <w:p>
      <w:pPr>
        <w:pStyle w:val="Heading2"/>
      </w:pPr>
      <w:r>
        <w:t>Erwägungen</w:t>
      </w:r>
    </w:p>
    <w:p>
      <w:r>
        <w:rPr>
          <w:b/>
        </w:rPr>
        <w:t>E. 1</w:t>
      </w:r>
    </w:p>
    <w:p>
      <w:r>
        <w:t>Die Amtsgerichtspräsidentin des Richteramts Solothurn-Lebern erteilte dem Beschwerdegegner mit Urteil vom 24. Dezember 2024 für Fr. 225.-- zuzüglich Zins zu 5 % seit dem 15. Dezember 2022 sowie für die Mahngebühren von Fr. 50.-- die definitive Rechtsöffnung. Dagegen erhob der Beschwerdeführer Beschwerde an das Obergericht des Kantons Solothurn. Das Obergericht wies mit Urteil vom 5. März 2025 die Beschwerde als offensichtlich unbegründet ab, soweit es darauf eintrat. Ebenso wies es das Gesuch um Gewährung der unentgeltlichen Rechtspflege für das Beschwerdeverfahren ab.</w:t>
      </w:r>
    </w:p>
    <w:p>
      <w:r>
        <w:t>Gegen dieses Urteil erhebt der Beschwerdeführer mit Eingabe vom 7. April 2025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rPr>
          <w:b/>
        </w:rPr>
        <w:t>E. 2.2</w:t>
      </w:r>
    </w:p>
    <w:p>
      <w:r>
        <w:t>Der Beschwerdeführer behauptet nicht, zumindest offensichtlich nicht hinreichend,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4.1</w:t>
      </w:r>
    </w:p>
    <w:p>
      <w:r>
        <w:t>Die Beschwerde ist von vornherein unzulässig, soweit der Beschwerdeführer darin Anträge stellt und Rügen erhebt, die über den Gegenstand des obergerichtlichen Entscheids vom 5. März 2025 hinausgehen.</w:t>
      </w:r>
    </w:p>
    <w:p>
      <w:r>
        <w:rPr>
          <w:b/>
        </w:rPr>
        <w:t>E. 4.2</w:t>
      </w:r>
    </w:p>
    <w:p>
      <w:r>
        <w:t>Im Übrigen erfüllt die Eingabe des Beschwerdeführers die oben genannten Begründungsanforderungen offensichtlich nicht. Er kritisiert darin verschiedenste Behörden und schildert seine Sicht der Dinge. Er geht indessen auf die Erwägungen der Vorinstanz nicht hinreichend konkret ein, geschweige denn zeigt er nachvollziehbar auf, welche verfassungsmässigen Rechte die Vorinstanz mit ihrem Entscheid inwiefern verletzt haben soll. Insoweit ist auf die Beschwerde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