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4D_72/2024 vom 18. Juni 2024</w:t>
      </w:r>
    </w:p>
    <w:p>
      <w:r>
        <w:t>Bundesgericht, 2024-06-18, DE</w:t>
      </w:r>
    </w:p>
    <w:p>
      <w:r>
        <w:rPr>
          <w:b/>
        </w:rPr>
        <w:t xml:space="preserve">Quelle: </w:t>
      </w:r>
      <w:r>
        <w:t>https://mcp.opencaselaw.ch/entscheid/bger_4D_72_2024</w:t>
      </w:r>
    </w:p>
    <w:p>
      <w:r>
        <w:t>FR: TF 4D_72/2024 du 18 juin 2024</w:t>
      </w:r>
    </w:p>
    <w:p>
      <w:r>
        <w:t>IT: TF 4D_72/2024 del 18 giugno 2024</w:t>
      </w:r>
    </w:p>
    <w:p>
      <w:pPr>
        <w:pStyle w:val="Heading2"/>
      </w:pPr>
      <w:r>
        <w:t>Erwägungen</w:t>
      </w:r>
    </w:p>
    <w:p>
      <w:r>
        <w:rPr>
          <w:b/>
        </w:rPr>
        <w:t>E. 1</w:t>
      </w:r>
    </w:p>
    <w:p>
      <w:r>
        <w:t>Mit Urteil vom 9. Februar 2024 erteilte das Bezirksgericht Dietikon dem Beschwerdegegner in der Betreibung Nr. xxx des Betreibungsamts X.________ definitive Rechtsöffnung für Fr. 190.-- und auferlegte dem Beschwerdeführer die Gerichtskosten. Die dagegen erhobene Beschwerde wies das Obergericht des Kantons Zürich mit Urteil vom 3. April 2024 ab, soweit es darauf eintrat. Gegen das Urteil des Obergerichts erhebt der Beschwerdeführer mit Eingabe vom 16. Mai 2024 Beschwerde an das Bundesgericht. Am 30. Mai 2024 reichte er eine weitere Eingabe ein, worin er unter anderem sinngemäss um Gewährung der unentgeltlichen Rechtspflege ersuchte.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190.--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Eingaben des Beschwerdeführers erfüllen diese Begründungsanforderungen offensichtlich nicht. Er schildert darin bloss seine eigene Sicht der Dinge. Er geht indessen nicht auf die Erwägungen der Vorinstanz hinreichend konkret ein, geschweige denn zeigt er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sinngemäss gestellte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