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4D_71/2025 vom 30. Mai 2025</w:t>
      </w:r>
    </w:p>
    <w:p>
      <w:r>
        <w:t>Bundesgericht, 2025-05-30, DE</w:t>
      </w:r>
    </w:p>
    <w:p>
      <w:r>
        <w:rPr>
          <w:b/>
        </w:rPr>
        <w:t xml:space="preserve">Quelle: </w:t>
      </w:r>
      <w:r>
        <w:t>https://mcp.opencaselaw.ch/entscheid/bger_4D_71_2025</w:t>
      </w:r>
    </w:p>
    <w:p>
      <w:r>
        <w:t>FR: TF 4D_71/2025 du 30 mai 2025</w:t>
      </w:r>
    </w:p>
    <w:p>
      <w:r>
        <w:t>IT: TF 4D_71/2025 del 30 maggio 2025</w:t>
      </w:r>
    </w:p>
    <w:p>
      <w:pPr>
        <w:pStyle w:val="Heading2"/>
      </w:pPr>
      <w:r>
        <w:t>Erwägungen</w:t>
      </w:r>
    </w:p>
    <w:p>
      <w:r>
        <w:rPr>
          <w:b/>
        </w:rPr>
        <w:t>E. 1</w:t>
      </w:r>
    </w:p>
    <w:p>
      <w:r>
        <w:t>Mit Verfügung vom 26. März 2024 setzte das Obergericht des Kantons Thurgau dem Beschwerdeführer in einem von diesem eingeleiteten Beschwerdeverfahren Frist zur Leistung eines Kostenvorschusses von Fr. 500.-- an.</w:t>
      </w:r>
    </w:p>
    <w:p>
      <w:r>
        <w:t>Mit Verfügung vom 16. April 2024 setzte das Obergericht dem Beschwerdeführer eine Nachfrist an, verbunden mit der Androhung, dass bei Ausbleiben des Kostenvorschusses auf die Beschwerde nicht eingetreten werde.</w:t>
      </w:r>
    </w:p>
    <w:p>
      <w:r>
        <w:t>Mit Urteil 4D_84/2024 vom 26. Juni 2024 trat das Bundesgericht auf eine vom Beschwerdeführer gegen die Verfügungen des Obergerichts des Kantons Thurgau vom 26. März 2024 und 16. April 2024 eingereichte Beschwerde nicht ein.</w:t>
      </w:r>
    </w:p>
    <w:p>
      <w:r>
        <w:t>Mit Verfügung vom 4. Juli 2024 räumte das Obergericht des Kantons Thurgau dem Beschwerdeführer eine letzte Nachfrist von fünf Tagen ein, um den Kostenvorschuss von Fr. 500.-- zu leisten, verbunden mit der Androhung, andernfalls werde auf die Beschwerde nicht eingetreten.</w:t>
      </w:r>
    </w:p>
    <w:p>
      <w:r>
        <w:t>Mit Urteil 4D_118/2024 vom 20. November 2024 trat das Bundesgericht auf eine vom Beschwerdeführer gegen die obergerichtliche Verfügung vom 4. Juli 2024 erhobene Beschwerde nicht ein.</w:t>
      </w:r>
    </w:p>
    <w:p>
      <w:r>
        <w:t>Mit Verfügung vom 2. Dezember 2024 setzte das Obergericht des Kantons Thurgau dem Beschwerdeführer eine allerletzte Nachfrist von fünf Tagen an, um den auferlegten Kostenvorschuss zu bezahlen, andernfalls auf die Beschwerde nicht eingetreten werde.</w:t>
      </w:r>
    </w:p>
    <w:p>
      <w:r>
        <w:t>Mit Urteil 4D_192/2024 vom 3. März 2025 trat das Bundesgericht auf eine vom Beschwerdeführer gegen die obergerichtliche Verfügung vom 2. Dezember 2024 erhobene Beschwerde nicht ein.</w:t>
      </w:r>
    </w:p>
    <w:p>
      <w:r>
        <w:t>Mit Entscheid vom 14. März 2025 trat das Obergericht des Kantons Thurgau auf die vom Beschwerdeführer erhobene Beschwerde zufolge Nichtleistung des Kostenvorschusses nicht ein.</w:t>
      </w:r>
    </w:p>
    <w:p>
      <w:r>
        <w:t>Mit Eingabe vom 3. April 2025 erklärte der Beschwerdeführer dem Bundesgericht, den obergerichtlichen Entscheid vom 14. März 2025 mit Beschwerde anfechten zu wollen.</w:t>
      </w:r>
    </w:p>
    <w:p>
      <w:r>
        <w:t>Am 4. April 2025 reichte der Beschwerdeführer dem Bundesgericht eine Beschwerdeergänzung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zeigt nicht auf,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Eingaben des Beschwerdeführers erfüllen die genannten Begründungsanforderungen offensichtlich nicht. Er zeigt nicht unter Bezugnahme auf die Erwägungen des angefochtenen Entscheids des Obergerichts des Kantons Thurgau vom 14. März 2025 auf, inwiefern die Vorinstanz mit ihrem Nichteintretensentscheid verfassungsmässige Rechte verletzt hätte, sondern unterbreitet dem Bundesgericht in unzulässiger Weise seine eigene Sicht der Dinge. Er erwähnt zwar verschiedene Bestimmungen der Bundesverfassung (etwa Art. 193 f. BV) sowie des Gesetzesrechts (etwa Art. 19 f. OR und Art. 27 ZGB ), zeigt jedoch offensichtlich nicht hinreichend auf, inwiefern die Vorinstanz diese verletzt bzw. verfassungswidrig angewendet haben soll.</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