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4D_71/2020 vom 23. Februar 2021</w:t>
      </w:r>
    </w:p>
    <w:p>
      <w:r>
        <w:t>Bundesgericht, 2021-02-23, DE</w:t>
      </w:r>
    </w:p>
    <w:p>
      <w:r>
        <w:rPr>
          <w:b/>
        </w:rPr>
        <w:t xml:space="preserve">Quelle: </w:t>
      </w:r>
      <w:r>
        <w:t>https://mcp.opencaselaw.ch/entscheid/bger_4D_71_2020</w:t>
      </w:r>
    </w:p>
    <w:p>
      <w:r>
        <w:t>FR: TF 4D_71/2020 du 23 février 2021</w:t>
      </w:r>
    </w:p>
    <w:p>
      <w:r>
        <w:t>IT: TF 4D_71/2020 del 23 febbraio 2021</w:t>
      </w:r>
    </w:p>
    <w:p>
      <w:pPr>
        <w:pStyle w:val="Heading2"/>
      </w:pPr>
      <w:r>
        <w:t>Erwägungen</w:t>
      </w:r>
    </w:p>
    <w:p>
      <w:r>
        <w:rPr>
          <w:b/>
        </w:rPr>
        <w:t>E. 1</w:t>
      </w:r>
    </w:p>
    <w:p>
      <w:r>
        <w:t>Der angefochtene Beschluss des Obergerichts ist ein Endentscheid (Art. 117 in Verbindung mit Art. 90 BGG ) einer letzten kantonalen Instanz (Art. 114 in Verbindung mit Art. 75 Abs. 1 BGG ). Der Streitwert erreicht die erforderliche Streitwertgrenze von Art. 74 Abs. 1 BGG nicht, weshalb die Beschwerde in Zivilsachen nicht gegeben ist. Die erhobene subsidiäre Verfassungsbeschwerde erweist sich demnach als das zulässige Rechtsmittel ( Art. 113 BGG ).</w:t>
      </w:r>
    </w:p>
    <w:p>
      <w:r>
        <w:rPr>
          <w:b/>
        </w:rPr>
        <w:t>E. 2</w:t>
      </w:r>
    </w:p>
    <w:p>
      <w:r>
        <w:t>Mit der Verfassungsbeschwerde kann die Verletzung von verfassungsmässigen Rechten gerügt werden ( Art. 116 BGG ).</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rPr>
          <w:b/>
        </w:rPr>
        <w:t>E. 3.1</w:t>
      </w:r>
    </w:p>
    <w:p>
      <w:r>
        <w:t>Die (kantonale) Beschwerde ist - wie auch die Berufung (vgl. Art. 311 Abs. 1 ZPO ) - "begründet" einzureichen ( Art. 321 Abs. 1 ZPO ). In der Eingabe sind Rechtsbegehren zu stellen ( BGE 137 III 617 E. 4.2 für die Berufung). Mit Blick darauf, dass die Beschwerdeinstanz reformatorisch entscheidet, wenn sie die Beschwerde gutheisst und die Sache spruchreif ist ( Art. 327 Abs. 3 lit. b ZPO ), muss die beschwerdeführende Partei grundsätzlich einen Antrag in der Sache formulieren, und zwar so, dass dieser im Falle der Gutheissung der Klage unverändert zum Urteil erhoben werden kann. Die in der Beschwerde zu stellenden Anträge in der Sache müssen somit bestimmt und im Falle von Geldforderungen beziffert sein ( BGE 137 III 617 E. 4.3 und 6.1 für die Berufung). Von diesem Erfordernis wird abgesehen, wenn die Beschwerdeinstanz im Falle der Beschwerdegutheissung zwangsläufig kassatorisch entscheiden muss (vgl. Art. 327 Abs. 3 lit. a ZPO ; Urteil 5A_9/2020 vom 6. Mai 2020 E. 2.1 mit weiteren Hinweisen), namentlich wenn ein erstinstanzlicher Nichteintretensentscheid angefochten ist (zur Publikation vorgesehenes Urteil 4A_207/2019 vom 17. August 2020 E. 3.2).</w:t>
      </w:r>
    </w:p>
    <w:p>
      <w:r>
        <w:rPr>
          <w:b/>
        </w:rPr>
        <w:t>E. 3.2</w:t>
      </w:r>
    </w:p>
    <w:p>
      <w:r>
        <w:t>Das Obergericht stellte fest, dass in den Rechtsbegehren der Beschwerde ein materieller Antrag fehle. Auch aus der Beschwerdebegründung ergebe sich nicht, was die Beschwerdeführerin in der Sache verlange.</w:t>
      </w:r>
    </w:p>
    <w:p>
      <w:r>
        <w:t>Die Beschwerdeführerin behauptet dagegen, dass aus "der Beschwerdebegründung sowie den Vorakten" "eindeutig" hervorgehe, dass sie weiterhin an der eingeklagten Forderung festhalte. Dem Obergericht habe "klar" sein müssen, dass sie im Falle eines reformatorischen Entscheids die Gutheissung der Klage fordere.</w:t>
      </w:r>
    </w:p>
    <w:p>
      <w:r>
        <w:t>Damit wendet sich die Beschwerdeführerin gegen die vorinstanzliche Feststellung des Prozesssachverhalts, ohne auch nur ansatzweise eine den Begründungsanforderungen (Erwägung 2) genügende Sachverhaltsrüge zu erheben. Weder tut sie dar, inwiefern die Tatsachenfeststellung der Vorinstanz verfassungsmässige Rechte verletzen soll, noch verweist sie mit Aktenhinweisen auf jene Stellen ihrer Rechtsschriften und der "Vorakten", aus denen sich ihre Anträge in der Sache angeblich herleiten lassen.</w:t>
      </w:r>
    </w:p>
    <w:p>
      <w:r>
        <w:rPr>
          <w:b/>
        </w:rPr>
        <w:t>E. 3.3</w:t>
      </w:r>
    </w:p>
    <w:p>
      <w:r>
        <w:t>Es ist vom Sachverhalt auszugehen, wie ihn die Vorinstanz festgestellt hat. Zu prüfen ist, ob verfassungsmässige Rechte der Beschwerdeführerin verletzt sind, weil das Obergericht mangels materiellem Antrag auf die Beschwerde nicht eintrat.</w:t>
      </w:r>
    </w:p>
    <w:p>
      <w:r>
        <w:rPr>
          <w:b/>
        </w:rPr>
        <w:t>E. 4.1</w:t>
      </w:r>
    </w:p>
    <w:p>
      <w:r>
        <w:t>Die Beschwerdeführerin rügt zu Recht nicht die unrichtige Anwendung von Art. 321 ZPO (vgl. Art. 116 BGG ), sondern wirft der Vorinstanz überspitzten Formalismus ( Art. 29 Abs. 1 BV ) vor.</w:t>
      </w:r>
    </w:p>
    <w:p>
      <w:r>
        <w:t>So führt sie aus, das Bezirksgericht habe kein Urteil in der Sache gefällt, sondern lediglich Nichteintreten verfügt. Ein gegen einen "Prozessentscheid" erhobenes Rechtsmittel könne nur zu einem kassatorischen und nicht zu einem reformatorischen Urteil der Rechtsmittelinstanz führen. Aus diesem Grund habe sie im kantonalen Beschwerdeverfahren einzig die Aufhebung der erstinstanzlichen Verfügung (und Rückweisung an das Bezirksgericht) verlangt. Sie habe sich in der Beschwerdeschrift zu allen vom Bezirksgericht behandelten prozessualen und materiellen Erwägungen geäussert und einzig in "formaler Hinsicht" keinen expliziten Antrag in der Sache gestellt, da auch im erstinstanzlichen Verfügungsdispositiv "kein entsprechender materieller Urteilsspruch" erfolgt sei.</w:t>
      </w:r>
    </w:p>
    <w:p>
      <w:r>
        <w:rPr>
          <w:b/>
        </w:rPr>
        <w:t>E. 4.2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S. 204; 142 IV 299 E. 1.3.2 ; 142 I 10 E. 2.4.2 S. 11 mit Hinweisen; siehe für das Zivilverfahrensrecht BGE 140 III 636 E. 3.5 f.).</w:t>
      </w:r>
    </w:p>
    <w:p>
      <w:r>
        <w:rPr>
          <w:b/>
        </w:rPr>
        <w:t>E. 4.3</w:t>
      </w:r>
    </w:p>
    <w:p>
      <w:r>
        <w:t>Im kantonalen Rechtsmittelverfahren ist eine Rückweisung an die erste Instanz regelmässig geboten, wenn diese zu Unrecht wegen einer fehlenden Prozessvoraussetzung nicht auf die Klage eingetreten ist, die Klage somit materiell überhaupt nicht beurteilt hat (vgl. zur Publikation vorgesehenes Urteil 4A_207/2019 vom 17. August 2020 E. 3.2; ferner Urteil 5A_424/2018 vom 3. Dezember 2018 E. 4.2). Im vorliegenden Fall erkannte das Obergericht allerdings, dass das Bezirksgericht das Verfahren nicht auf die Frage der örtlichen Zuständigkeit beschränkt, sondern die Hauptverhandlung vollständig durchgeführt und in einer materiellen Eventualbegründung zur Sache Stellung bezogen hatte. Der Sachverhalt stehe - so die Vorinstanz - auf Grund des erstinstanzlich erhobenen Beweismaterials vollständig fest. Es erscheint nicht überspitzt formalistisch, wenn das Obergericht vor diesem Hintergrund schloss, dass die anwaltlich vertretene Beschwerdeführerin mit einem reformatorischen Entscheid der kantonalen Beschwerdeinstanz im Sinne von Art. 327 Abs. 3 lit. b ZPO hätte rechnen und folglich Anträge in der Sache hätte stellen müssen (siehe auch Urteil 5A_424/2018 vom 3. Dezember 2018 E. 4.3), zumal die Beschwerdeführerin keine Gründe nennt, die einem reformatorischen Entscheid zwingend entgegengestanden wären. Der angefochtene Beschluss ist unter verfassungsrechtlichen Gesichtspunkten ( Art. 29 Abs. 1 BV ) nicht zu beanstanden.</w:t>
      </w:r>
    </w:p>
    <w:p>
      <w:r>
        <w:rPr>
          <w:b/>
        </w:rPr>
        <w:t>E. 5</w:t>
      </w:r>
    </w:p>
    <w:p>
      <w:r>
        <w:t>Die Beschwerde ist abzuweisen, soweit darauf eingetreten werden kann. Bei diesem Ausgang des Verfahrens sind die Gerichtskosten gemäss Art. 66 Abs. 1 BGG der Beschwerdeführerin aufzuerlegen.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