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4D_6/2025 vom 5. Februar 2025</w:t>
      </w:r>
    </w:p>
    <w:p>
      <w:r>
        <w:t>Bundesgericht, 2025-02-05, DE</w:t>
      </w:r>
    </w:p>
    <w:p>
      <w:r>
        <w:rPr>
          <w:b/>
        </w:rPr>
        <w:t xml:space="preserve">Quelle: </w:t>
      </w:r>
      <w:r>
        <w:t>https://mcp.opencaselaw.ch/entscheid/bger_4D_6_2025</w:t>
      </w:r>
    </w:p>
    <w:p>
      <w:r>
        <w:t>FR: TF 4D_6/2025 du 5 février 2025</w:t>
      </w:r>
    </w:p>
    <w:p>
      <w:r>
        <w:t>IT: TF 4D_6/2025 del 5 febbraio 2025</w:t>
      </w:r>
    </w:p>
    <w:p>
      <w:pPr>
        <w:pStyle w:val="Heading2"/>
      </w:pPr>
      <w:r>
        <w:t>Erwägungen</w:t>
      </w:r>
    </w:p>
    <w:p>
      <w:r>
        <w:rPr>
          <w:b/>
        </w:rPr>
        <w:t>E. 1</w:t>
      </w:r>
    </w:p>
    <w:p>
      <w:r>
        <w:t>Mit Verfügungen vom 21. August 2024 erteilte das Kantonsgericht Schaffhausen dem Beschwerdegegner für Fr. 253.--, Fr. 400.-- und Fr. 465.-- je definitive Rechtsöffnung. Es wies sodann das vom Beschwerdeführer gestellte Gesuch um Gewährung der unentgeltlichen Rechtspflege als auch jenes um Einräumung einer weiteren Frist zur Einreichung von Unterlagen ab. Gegen diese Verfügungen erhob der Beschwerdeführer je Beschwerde an das Obergericht des Kantons Schaffhausen (Berufungsverfahren 40/2024/17/E, 40/2024/18/E und 40/2024/19/E). Das Obergericht wies mit Verfügung vom 4. September 2024 den Antrag des Beschwerdeführers um Erstreckung der Frist zur Stellungnahme als auch den Antrag um Gewährung der unentgeltlichen Rechtspflege ab und setzte ihm Frist an, einen Kostenvorschuss zu leisten. Da der Kostenvorschuss innert Frist nicht geleistet wurde, setzte das Obergericht eine Nachfrist an. Mit Entscheid vom 3. Dezember 2024 vereinigte das Obergericht die Verfahren. Es trat auf die Beschwerde in den Verfahren 40/2024/17/E und 40/2024/18/E nicht ein, da der Kostenvorschuss nicht geleistet wurde, und wies die Beschwerde im Verfahren 40/2024/19/E ab. Gegen diesen Entscheid des Obergerichts erhebt der Beschwerdeführer mit Eingabe vom 10. Januar 2025 Beschwerde an das Bundesgericht. Auch vor Bundesgericht begehrt der Beschwerdeführer um die Gewährung der unentgeltlichen Rechtspflege. Auf das Einholen von Vernehmlassungen zur Beschwerde wurde verzichtet.</w:t>
      </w:r>
    </w:p>
    <w:p>
      <w:r>
        <w:rPr>
          <w:b/>
        </w:rPr>
        <w:t>E. 2</w:t>
      </w:r>
    </w:p>
    <w:p>
      <w:r>
        <w:t>Das Bundesgericht prüft von Amtes wegen und mit freier Kognition, ob ein Rechtsmittel zulässig ist ( Art. 29 Abs. 1 BGG ; BGE 149 III 277 E. 3.1 mit Hinweisen).</w:t>
      </w:r>
    </w:p>
    <w:p>
      <w:r>
        <w:rPr>
          <w:b/>
        </w:rPr>
        <w:t>E. 2.1</w:t>
      </w:r>
    </w:p>
    <w:p>
      <w:r>
        <w:t>Die Beschwerde nach Art. 72 ff. BGG ist von vornherein unzulässig, soweit der Beschwerdeführer darin den Antrag stellt, sein Betrieb sei einem anderen Kontrollorgan zur Kontrolle des Lebensmittelrechts zu unterstellen, da dies über den Gegenstand des obergerichtlichen Entscheids vom 3. Dezember 2024 hinausgeht.</w:t>
      </w:r>
    </w:p>
    <w:p>
      <w:r>
        <w:rPr>
          <w:b/>
        </w:rPr>
        <w:t>E. 2.2</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 was die beschwerdeführende Partei aufzuzeigen hat ( Art. 42 Abs. 2 Satz 2 BGG ; BGE 136 II 489 E. 2.6; 133 III 439 E. 2.2.2.1, 645 E. 2.4).</w:t>
      </w:r>
    </w:p>
    <w:p>
      <w:r>
        <w:rPr>
          <w:b/>
        </w:rPr>
        <w:t>E. 2.3</w:t>
      </w:r>
    </w:p>
    <w:p>
      <w:r>
        <w:t>Der Beschwerdeführer behauptet nicht, dass sich eine Rechtsfrage von grundsätzlicher Bedeutung stellt. Unter diesen Umständen ist die Beschwerde in Zivilsachen nicht zulässig, sondern es steht die subsidiäre Verfassungsbeschwerde im Sinne der Art. 113-119 BGG offen.</w:t>
      </w:r>
    </w:p>
    <w:p>
      <w:r>
        <w:rPr>
          <w:b/>
        </w:rPr>
        <w:t>E. 3.1</w:t>
      </w:r>
    </w:p>
    <w:p>
      <w:r>
        <w:t>Mit der Verfassungsbeschwerde kann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3.2</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Überdies muss die Behebung des Mangels für den Ausgang des Verfahrens entscheidend sein können ( Art. 97 Abs. 1 BGG ).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Die Eingabe des Beschwerdeführers erfüllt diese Begründungsanforderungen offensichtlich nicht. Er schildert darin bloss seine Sicht der Dinge. Er geht indessen auf die Erwägungen der Vorinstanz nicht hinreichend konkret ein, geschweige denn zeigt er nachvollziehbar auf, welche verfassungsmässigen Rechte die Vorinstanz mit ihrem Entscheid inwiefern verletzt haben soll. Auf die Beschwerde ist somit mangels hinreichender Begründung nicht einzutreten ( Art. 108 Abs. 1 lit. b BGG in Verbindung mit Art. 117 BGG ).</w:t>
      </w:r>
    </w:p>
    <w:p>
      <w:r>
        <w:rPr>
          <w:b/>
        </w:rPr>
        <w:t>E. 5</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6</w:t>
      </w:r>
    </w:p>
    <w:p>
      <w:r>
        <w:t>Bei diesem Ausgang des Verfahrens sind die Gerichtskosten dem Beschwerdeführer aufzuerlegen ( Art. 66 Abs. 1 BGG ). Da der Beschwerdeführer unterliegt, erübrigt es sich auch, ihm eine Entschädigung für seinen Aufwand und für "die Folgekosten" zuzusprechen, wie er dies beantragt.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