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4D_6/2024 vom 6. Februar 2024</w:t>
      </w:r>
    </w:p>
    <w:p>
      <w:r>
        <w:t>Bundesgericht, 2024-02-06, DE</w:t>
      </w:r>
    </w:p>
    <w:p>
      <w:r>
        <w:rPr>
          <w:b/>
        </w:rPr>
        <w:t xml:space="preserve">Quelle: </w:t>
      </w:r>
      <w:r>
        <w:t>https://mcp.opencaselaw.ch/entscheid/bger_4D_6_2024</w:t>
      </w:r>
    </w:p>
    <w:p>
      <w:r>
        <w:t>FR: TF 4D_6/2024 du 6 février 2024</w:t>
      </w:r>
    </w:p>
    <w:p>
      <w:r>
        <w:t>IT: TF 4D_6/2024 del 6 febbraio 2024</w:t>
      </w:r>
    </w:p>
    <w:p>
      <w:pPr>
        <w:pStyle w:val="Heading2"/>
      </w:pPr>
      <w:r>
        <w:t>Erwägungen</w:t>
      </w:r>
    </w:p>
    <w:p>
      <w:r>
        <w:rPr>
          <w:b/>
        </w:rPr>
        <w:t>E. 1.1</w:t>
      </w:r>
    </w:p>
    <w:p>
      <w:r>
        <w:t>Der Staat Zürich, politische Gemeinde Dietikon, vertreten durch das Steueramt Dietikon (Beschwerdegegner), ersuchte das Richteramt Olten-Gösgen mit Eingabe vom 4. September 2023 in der gegen A.________ (Beschwerdeführer) geführten Betreibung Nr. xxx des Betreibungsamts Olten-Gösgen um Erteilung der definitiven Rechtsöffnung für den Betrag von Fr. 7'092.50 betreffend Staats- und Gemeindesteuern 2001.</w:t>
      </w:r>
    </w:p>
    <w:p>
      <w:r>
        <w:rPr>
          <w:b/>
        </w:rPr>
        <w:t>E. 1.2</w:t>
      </w:r>
    </w:p>
    <w:p>
      <w:r>
        <w:t>Mit Urteil vom 9. Oktober 2023 erteilte das Richteramt definitive Rechtsöffnung im Umfang von Fr. 6'416.00. Es stützte sich dabei auf den als Rechtsöffnungstitel ins Recht gelegten Einschätzungsentscheid für Staats- und Gemeindesteuern 2001 und die dazugehörige Schlussrechnung. Es erwog, dieser Entscheid sei dem Beschwerdeführer entgegen seiner Behauptung gehörig zugestellt worden und in Rechtskraft erwachsen.</w:t>
      </w:r>
    </w:p>
    <w:p>
      <w:r>
        <w:rPr>
          <w:b/>
        </w:rPr>
        <w:t>E. 1.3</w:t>
      </w:r>
    </w:p>
    <w:p>
      <w:r>
        <w:t>Mit Beschluss vom 15. Dezember 2023 trat das Obergericht des Kantons Solothurn auf die gegen den Rechtsöffnungsentscheid des Richteramts geführte Beschwerde des Beschwerdeführers mangels hinreichender Begründung nicht ein.</w:t>
      </w:r>
    </w:p>
    <w:p>
      <w:r>
        <w:rPr>
          <w:b/>
        </w:rPr>
        <w:t>E. 1.4</w:t>
      </w:r>
    </w:p>
    <w:p>
      <w:r>
        <w:t>Mit Eingabe vom 14. Januar 2024 (Postaufgabe 15. Januar 2024) erklärte der Beschwerdeführer dem Bundesgericht, den Beschluss des Obergerichts des Kantons Solothurn vom 15. Dezember 2023 mit Beschwerde anfechten zu wollen. Er beantragt die Aufhebung des angefochtenen Urteils und die Rückweisung an die Vorinstanz zur Neubeurteilung. Zudem ersucht er sinngemäss um Erteilung der unentgeltlicher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Beschwerde erfüllt die genannten Begründungsanforderungen offensichtlich nicht. Der Beschwerdeführer äussert seine Ansichten darüber, inwiefern er von staatlichen Institutionen "abgezockt" werde. Er wiederholt seine Vorbringen hinsichtlich der Zustellung des Einschätzungsentscheids während seines Aufenthalts in einer Justizvollzugsanstalt und bestreitet die Rechtsmässigkeit der Zustellung. Der Beschwerdeführer zeigt damit nicht unter Bezugnahme auf die Erwägungen des angefochtenen Entscheids auf, inwiefern die Vorinstanz mit der Anwendung der Begründungsanforderungen gemäss Art. 321 Abs. 1 ZPO verfassungsmässige Rechte verletzt haben soll.</w:t>
      </w:r>
    </w:p>
    <w:p>
      <w:r>
        <w:rPr>
          <w:b/>
        </w:rPr>
        <w:t>E. 2.5</w:t>
      </w:r>
    </w:p>
    <w:p>
      <w:r>
        <w:t>Auf die Beschwerde ist somit mangels hinreichender Begründung nicht einzutreten ( Art. 108 Abs. 1 lit. b BGG ).</w:t>
      </w:r>
    </w:p>
    <w:p>
      <w:r>
        <w:rPr>
          <w:b/>
        </w:rPr>
        <w:t>E. 3</w:t>
      </w:r>
    </w:p>
    <w:p>
      <w:r>
        <w:t>Das Begehren um Gewährung der unentgeltlichen Rechtspflege für das bundesgerichtliche Verfahren ist abzuweisen, weil die Beschwerde von vornherein aussichtslos war ( Art. 64 Abs. 1 BGG ). Der Beschwerdeführer wird bei diesem Verfahrensausgang kostenpflichtig ( Art. 66 Abs. 1 BGG ). Dem Beschwerdegegner steht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