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4D_69/2024 vom 3. Juni 2024</w:t>
      </w:r>
    </w:p>
    <w:p>
      <w:r>
        <w:t>Bundesgericht, 2024-06-03, DE</w:t>
      </w:r>
    </w:p>
    <w:p>
      <w:r>
        <w:rPr>
          <w:b/>
        </w:rPr>
        <w:t xml:space="preserve">Quelle: </w:t>
      </w:r>
      <w:r>
        <w:t>https://mcp.opencaselaw.ch/entscheid/bger_4D_69_2024</w:t>
      </w:r>
    </w:p>
    <w:p>
      <w:r>
        <w:t>FR: TF 4D_69/2024 du 3 juin 2024</w:t>
      </w:r>
    </w:p>
    <w:p>
      <w:r>
        <w:t>IT: TF 4D_69/2024 del 3 giugno 2024</w:t>
      </w:r>
    </w:p>
    <w:p>
      <w:pPr>
        <w:pStyle w:val="Heading2"/>
      </w:pPr>
      <w:r>
        <w:t>Erwägungen</w:t>
      </w:r>
    </w:p>
    <w:p>
      <w:r>
        <w:rPr>
          <w:b/>
        </w:rPr>
        <w:t>E. 1</w:t>
      </w:r>
    </w:p>
    <w:p>
      <w:r>
        <w:t>Mit Urteil vom 18. Oktober 2023 erteilte das Einzelgericht Audienz am Bezirksgericht Zürich dem Beschwerdegegner in der Betreibung Nr. xxx des Betreibungsamtes U.________ definitive Rechtsöffnung für Fr. 3'120.- nebst Zins. Die dagegen von der Beschwerdeführerin erhobene Beschwerde wies das Obergericht des Kantons Zürich mit Urteil vom 8. März 2024 als offensichtlich unbegründet ab, soweit es darauf eintrat.</w:t>
      </w:r>
    </w:p>
    <w:p>
      <w:r>
        <w:t>Gegen das Urteil des Obergerichts erhebt die Beschwerdeführerin mit Eingabe vom 7. Mai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direkt gegen den Entscheid des Bezirksgerichts vom 18. Oktober 2023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3'120.-- und erreicht damit die Streitwertgrenze nicht.</w:t>
      </w:r>
    </w:p>
    <w:p>
      <w:r>
        <w:rPr>
          <w:b/>
        </w:rPr>
        <w:t>E. 2.3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Auf die Rüge der Verletzung einfachen Bundesrechts, insbesondere von Art. 57 ZPO und Art. 67 SchKG , kann von vornherein nicht eingetreten werden, da es sich hierbei nicht um die Verletzung verfassungsmässiger Rechte handelt (Erwägung 3.1).</w:t>
      </w:r>
    </w:p>
    <w:p>
      <w:r>
        <w:rPr>
          <w:b/>
        </w:rPr>
        <w:t>E. 4.2</w:t>
      </w:r>
    </w:p>
    <w:p>
      <w:r>
        <w:t>Im Übrigen erfüllt die Eingabe der Beschwerdeführerin die oben genannten Begründungsanforderungen offensichtlich nicht. Sie beruft sich auf die Nichtigkeit der Entscheide und rügt unter anderem eine Verletzung von Art. 5, Art. 9, Art. 29 und Art. 30 BV sowie von Art. 8 und Art. 14 EMRK . Sie schildert in ihrer Eingabe aber bloss ihre eigene Sicht der Dinge, ohne indessen auf die Erwägungen der Vorinstanz hinreichend konkret einzugehen, geschweige denn nachvollziehbar aufzuzeigen, inwiefern die Vorinstanz ihre verfassungsmässigen Rechte verletzt haben soll.</w:t>
      </w:r>
    </w:p>
    <w:p>
      <w:r>
        <w:rPr>
          <w:b/>
        </w:rPr>
        <w:t>E. 4.3</w:t>
      </w:r>
    </w:p>
    <w:p>
      <w:r>
        <w:t>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