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66/2024 vom 29. Mai 2024</w:t>
      </w:r>
    </w:p>
    <w:p>
      <w:r>
        <w:t>Bundesgericht, 2024-05-29, DE</w:t>
      </w:r>
    </w:p>
    <w:p>
      <w:r>
        <w:rPr>
          <w:b/>
        </w:rPr>
        <w:t xml:space="preserve">Quelle: </w:t>
      </w:r>
      <w:r>
        <w:t>https://mcp.opencaselaw.ch/entscheid/bger_4D_66_2024</w:t>
      </w:r>
    </w:p>
    <w:p>
      <w:r>
        <w:t>FR: TF 4D 66/2024 du 29 mai 2024</w:t>
      </w:r>
    </w:p>
    <w:p>
      <w:r>
        <w:t>IT: TF 4D 66/2024 del 29 maggio 2024</w:t>
      </w:r>
    </w:p>
    <w:p>
      <w:pPr>
        <w:pStyle w:val="Heading2"/>
      </w:pPr>
      <w:r>
        <w:t>Regeste</w:t>
      </w:r>
    </w:p>
    <w:p>
      <w:r>
        <w:t>definitive Rechtsöffnung, | Schuldbetreibungs- und Konkursrecht</w:t>
      </w:r>
    </w:p>
    <w:p>
      <w:pPr>
        <w:pStyle w:val="Heading2"/>
      </w:pPr>
      <w:r>
        <w:t>Erwägungen</w:t>
      </w:r>
    </w:p>
    <w:p>
      <w:r>
        <w:rPr>
          <w:b/>
        </w:rPr>
        <w:t>E. 1</w:t>
      </w:r>
    </w:p>
    <w:p>
      <w:r>
        <w:t>Mit Entscheid vom 3. Januar 2024 erteilte die Präsidentin des Zivil-gerichts des Sensebezirks dem Beschwerdegegner in der Betreibung Nr. xxx des Betreibungsamts des Sensebezirks die definitive Rechtsöffnung für den Betrag von CHF 5'615.05 sowie für weitere Kosten (Fr. 30.-- Mahngebühr, Fr. 30.-- Inkassokosten, Fr. 102.25 Zahlungsbefehlskosten, Fr. 250.-- Gerichtskosten und Fr. 100.-- Parteientschädigung). Die dagegen erhobene Beschwerde wies das Kantonsgericht Freiburg mit Urteil vom 4. März 2024 ab, soweit es darauf eintrat. Gegen das Urteil des Kantonsgerichts erhebt der Beschwerdeführer mit Eingabe vom 3. Mai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eigene Sicht der Dinge. Er geht indessen nicht hinreichend konkret auf die Erwägungen der Vorinstanz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