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4D_65/2024 vom 14. Mai 2024</w:t>
      </w:r>
    </w:p>
    <w:p>
      <w:r>
        <w:t>Bundesgericht, 2024-05-14, DE</w:t>
      </w:r>
    </w:p>
    <w:p>
      <w:r>
        <w:rPr>
          <w:b/>
        </w:rPr>
        <w:t xml:space="preserve">Quelle: </w:t>
      </w:r>
      <w:r>
        <w:t>https://mcp.opencaselaw.ch/entscheid/bger_4D_65_2024</w:t>
      </w:r>
    </w:p>
    <w:p>
      <w:r>
        <w:t>FR: TF 4D_65/2024 du 14 mai 2024</w:t>
      </w:r>
    </w:p>
    <w:p>
      <w:r>
        <w:t>IT: TF 4D_65/2024 del 14 maggio 2024</w:t>
      </w:r>
    </w:p>
    <w:p>
      <w:pPr>
        <w:pStyle w:val="Heading2"/>
      </w:pPr>
      <w:r>
        <w:t>Erwägungen</w:t>
      </w:r>
    </w:p>
    <w:p>
      <w:r>
        <w:rPr>
          <w:b/>
        </w:rPr>
        <w:t>E. 1</w:t>
      </w:r>
    </w:p>
    <w:p>
      <w:r>
        <w:t>Die B.________ AG (Beschwerdegegnerin) schloss mit C.________ am 23./25. Mai 2012 bzw. 5./12. Juni 2014 einen Mietvertrag über einen Lagerraum im Zwischengeschoss in der Liegenschaft T.________ in U.________. Nach dem Ableben von C.________ ging das Mietverhältnis auf deren Erbin A.________ (Beschwerdeführerin) über.</w:t>
      </w:r>
    </w:p>
    <w:p>
      <w:r>
        <w:t>Die Beschwerdegegnerin kündigte das Mietverhältnis gestützt auf Art. 257d OR mit amtlich genehmigtem Formular vom 4. August 2023 per 30. September 2023.</w:t>
      </w:r>
    </w:p>
    <w:p>
      <w:r>
        <w:t>Mit Urteil vom 20. Februar 2024 hiess das Einzelgericht im summarischen Verfahren des Bezirksgerichts Dietikon ein von der Beschwerdegegnerin gestelltes Ausweisungsbegehren gut und verpflichtete die Beschwerdeführerin, den genannten Lagerraum unverzüglich zu räumen und der Beschwerdegegnerin ordnungsgemäss zu übergeben, unter Androhung der Zwangsvollstreckung im Unterlassungsfall.</w:t>
      </w:r>
    </w:p>
    <w:p>
      <w:r>
        <w:t>Auf eine von der Beschwerdeführerin dagegen erhobene Beschwerde trat das Obergericht des Kantons Zürich mit Beschluss vom 26. März 2024 nicht ein.</w:t>
      </w:r>
    </w:p>
    <w:p>
      <w:r>
        <w:t>Dagegen erhob die Beschwerdeführerin mit Eingabe vom 3. Mai 2024 Beschwerde beim Bundesgericht. Gleichzeitig ersuchte sie sinngemäss darum, es sei ihr für das bundesgerichtliche Verfahren die unentgeltliche Rechtspflege zu gewähren.</w:t>
      </w:r>
    </w:p>
    <w:p>
      <w:r>
        <w:t>Auf die Einholung von Vernehmlassungen zur Beschwerde wurde verzichtet.</w:t>
      </w:r>
    </w:p>
    <w:p>
      <w:r>
        <w:rPr>
          <w:b/>
        </w:rPr>
        <w:t>E. 2</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detailliert und klar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w:t>
      </w:r>
    </w:p>
    <w:p>
      <w:r>
        <w:rPr>
          <w:b/>
        </w:rPr>
        <w:t>E. 3</w:t>
      </w:r>
    </w:p>
    <w:p>
      <w:r>
        <w:t>Die Vorinstanz trat auf die kantonale Beschwerde der Beschwerdeführerin nicht ein, weil die Beschwerdeschrift den gesetzlichen Rüge- und Begründungsanforderungen nicht genüge.</w:t>
      </w:r>
    </w:p>
    <w:p>
      <w:r>
        <w:t>Die Beschwerdeführerin setzt sich in ihrer Eingabe vom 3. Mai 2024 nicht, jedenfalls nicht hinreichend, mit den entsprechenden Erwägungen der Vorinstanz auseinander und legt nicht rechtsgenügend dar, welche Rechte diese inwiefern verletzt haben soll, indem sie gestützt darauf auf ihre Beschwerde nicht eintrat.</w:t>
      </w:r>
    </w:p>
    <w:p>
      <w:r>
        <w:t>Ebensowenig setzt sie sich im Übrigen genügend mit der Zusatzbegründung der Vorinstanz auseinander, nach der sie zum Schluss kam, dass der kantonalen Beschwerde auch dann kein Erfolg beschieden wäre, wenn auf diese eingetreten werden könnte.</w:t>
      </w:r>
    </w:p>
    <w:p>
      <w:r>
        <w:t>Die vorliegende Beschwerde genügt damit den vorstehend (Erwägung 2) dargestellten Begründungsanforderungen offensichtlich nicht, weshalb darauf nicht eingetreten werden kann ( Art. 108 Abs. 1 lit. b BGG ).</w:t>
      </w:r>
    </w:p>
    <w:p>
      <w:r>
        <w:rPr>
          <w:b/>
        </w:rPr>
        <w:t>E. 4</w:t>
      </w:r>
    </w:p>
    <w:p>
      <w:r>
        <w:t>Auf die Erhebung von Gerichtskosten ist ausnahmsweise zu verzichten (Art. 66 Abs. 1 zweiter Satz BGG). Damit wird das Gesuch der Beschwerdeführerin um Gewährung der unentgeltlichen Rechtspflege für das bundesgerichtliche Verfahren gegenstandslos.</w:t>
      </w:r>
    </w:p>
    <w:p>
      <w:r>
        <w:t>Der Beschwerdegegnerin ist keine Parteientschädigung zuzusprechen, da ihr im Zusammenhang mit dem bundesgerichtlichen Verfahren kein Aufwand erwachsen ist ( Art. 68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