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4D_65/2021 vom 5. Januar 2022</w:t>
      </w:r>
    </w:p>
    <w:p>
      <w:r>
        <w:t>Bundesgericht, 2022-01-05, DE</w:t>
      </w:r>
    </w:p>
    <w:p>
      <w:r>
        <w:rPr>
          <w:b/>
        </w:rPr>
        <w:t xml:space="preserve">Quelle: </w:t>
      </w:r>
      <w:r>
        <w:t>https://mcp.opencaselaw.ch/entscheid/bger_4D_65_2021</w:t>
      </w:r>
    </w:p>
    <w:p>
      <w:r>
        <w:t>FR: TF 4D_65/2021 du 5 janvier 2022</w:t>
      </w:r>
    </w:p>
    <w:p>
      <w:r>
        <w:t>IT: TF 4D_65/2021 del 5 gennaio 2022</w:t>
      </w:r>
    </w:p>
    <w:p>
      <w:pPr>
        <w:pStyle w:val="Heading2"/>
      </w:pPr>
      <w:r>
        <w:t>Erwägungen</w:t>
      </w:r>
    </w:p>
    <w:p>
      <w:r>
        <w:rPr>
          <w:b/>
        </w:rPr>
        <w:t>E. 1</w:t>
      </w:r>
    </w:p>
    <w:p>
      <w:r>
        <w:t>Mit Verfügung vom 1. November 2021 bewilligte das Regionalgericht Bern-Mittelland der Verfahrensbeteiligten in einem vom Beschwerdeführer gegen diese angehobenen Forderungsstreit ein Fristerstreckungsgesuch und erstreckte ihr die Frist zur Einreichung einer Stellungnahme bis am 15. November 2021.</w:t>
      </w:r>
    </w:p>
    <w:p>
      <w:r>
        <w:t>Mit Entscheid vom 17. November 2021 wies das Obergericht des Kantons Bern eine vom Beschwerdeführer gegen das Regionalgericht Bern-Mittelland eingereichte Rechtsverzögerungsbeschwerde ab, soweit es darauf eintrat.</w:t>
      </w:r>
    </w:p>
    <w:p>
      <w:r>
        <w:t>Mit Eingabe vom 18. November 2021 erklärte der Beschwerdeführer dem Bundesgericht, den Entscheid des Obergerichts des Kantons Bern vom 17. November 2021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Die Eingabe des Beschwerdeführers vom 18. November 2021 erfüllt die genannten Begründungsanforderungen offensichtlich nicht. Er zeigt nicht unter Bezugnahme auf die Erwägungen des angefochtenen Entscheids des Obergerichts des Kantons Bern vom 17. November 2021 auf, inwiefern die Vorinstanz mit ihrem Entscheid verfassungsmässige Rechte verletzt hätte. Er führt zwar verschiedene Bestimmungen der StPO und der ZPO auf, ohne jedoch eine verfassungswidrige Anwendung dieser Gesetzesbestimmungen aufzuzeigen. Zudem erwähnt er Art. 8, Art. 9 und Art. 191 BV , begründet jedoch nicht hinreichend, inwiefern die Vorinstanz diese Bestimmungen verletzt haben soll.</w:t>
      </w:r>
    </w:p>
    <w:p>
      <w:r>
        <w:t>Auf die Beschwerde ist somit mangels hinreichender Begründung nicht einzutreten ( Art. 108 Abs. 1 lit. b BGG ).</w:t>
      </w:r>
    </w:p>
    <w:p>
      <w:r>
        <w:rPr>
          <w:b/>
        </w:rPr>
        <w:t>E. 4</w:t>
      </w:r>
    </w:p>
    <w:p>
      <w:r>
        <w:t>Unter den gegebenen Umständen ist ausnahmsweise auf die Erhebung von Gerichtskosten zu verzichten (Art. 66 Abs. 1 zweiter Satz BGG), womit das Gesuch um Befreiung von diesen Kosten im bundesgerichtlichen Verfahren gegenstandslos wird. Dem Beschwerdegegner und der Verfahrensbeteiligten stehen keine Parteientschädigungen zu ( Art. 68 Abs. 2 und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