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4D_63/2024 vom 31. Oktober 2024</w:t>
      </w:r>
    </w:p>
    <w:p>
      <w:r>
        <w:t>Bundesgericht, 2024-10-31, DE</w:t>
      </w:r>
    </w:p>
    <w:p>
      <w:r>
        <w:rPr>
          <w:b/>
        </w:rPr>
        <w:t xml:space="preserve">Quelle: </w:t>
      </w:r>
      <w:r>
        <w:t>https://mcp.opencaselaw.ch/entscheid/bger_4D_63_2024</w:t>
      </w:r>
    </w:p>
    <w:p>
      <w:r>
        <w:t>FR: TF 4D_63/2024 du 31 octobre 2024</w:t>
      </w:r>
    </w:p>
    <w:p>
      <w:r>
        <w:t>IT: TF 4D_63/2024 del 31 ottobre 2024</w:t>
      </w:r>
    </w:p>
    <w:p>
      <w:pPr>
        <w:pStyle w:val="Heading2"/>
      </w:pPr>
      <w:r>
        <w:t>Erwägungen</w:t>
      </w:r>
    </w:p>
    <w:p>
      <w:r>
        <w:rPr>
          <w:b/>
        </w:rPr>
        <w:t>E. 1</w:t>
      </w:r>
    </w:p>
    <w:p>
      <w:r>
        <w:t>Mit Urteil vom 8. Januar 2024 erteilte die Amtsgerichtspräsidentin von Dorneck-Thierstein der Beschwerdegegnerin in der Betreibung Nr. xxx des Betreibungsamtes X.________ für Fr. 338.30.-- samt Zins die definitive Rechtsöffnung, wies darüber hinausgehende Begehren ab, und verpflichtete den Beschwerdeführer, der Beschwerdegegnerin die Betreibungskosten zu ersetzen und die Gerichtskosten zu bezahlen. Das Obergericht des Kantons Solothurn trat mit Beschluss vom 19. April 2024 auf eine dagegen vom Beschwerdeführer erhobene Beschwerde nicht ein, da diese verspätet erhoben wurde.</w:t>
      </w:r>
    </w:p>
    <w:p>
      <w:r>
        <w:t>Mit Eingabe vom 29. April 2024 erhebt der Beschwerdeführer Beschwerde gegen den Entscheid des Amts- und Obergerichts. Am 5., 10. und 24. Mai 2024 reichte der Beschwerdeführer weitere Eingaben ein. Am 17. Mai 2024 sandte der Beschwerdeführer dem Bundesgericht weitere Eingaben per gewöhnlicher E-Mail.</w:t>
      </w:r>
    </w:p>
    <w:p>
      <w:r>
        <w:t>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an das Bundesgericht ist nur gegen Entscheide letzter kantonaler Instanzen zulässig ( Art. 75 Abs. 1, Art. 114 BGG ). Auf die Beschwerde ist daher von vornherein nicht einzutreten, soweit sie sich gegen den Entscheid des Amtsgerichts Dorneck-Thierstein richtet, da es sich dabei nicht um einen letztinstanzlichen Entscheid im Sinne von Art. 75 Abs. 1 BGG handelt.</w:t>
      </w:r>
    </w:p>
    <w:p>
      <w:r>
        <w:rPr>
          <w:b/>
        </w:rPr>
        <w:t>E. 2.2</w:t>
      </w:r>
    </w:p>
    <w:p>
      <w:r>
        <w:t>In vermögensrechtlichen Angelegenheiten, wie hier eine vorliegt, ist die Beschwerde in Zivilsachen grundsätzlich nur zulässig, wenn der Streitwert mindestens Fr. 30'000.-- beträgt ( Art. 74 Abs. 1 lit. b BGG ). Der Streitwert liegt vorliegend unter Fr. 30'000.-- und erreicht damit die Streitwertgrenze gemäss Art. 74 Abs. 1 lit. b BGG nicht.</w:t>
      </w:r>
    </w:p>
    <w:p>
      <w:r>
        <w:rPr>
          <w:b/>
        </w:rPr>
        <w:t>E. 2.3</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des Beschwerdeführers erfüllen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