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4D_63/2023 vom 29. Juli 2024</w:t>
      </w:r>
    </w:p>
    <w:p>
      <w:r>
        <w:t>Bundesgericht, 2024-07-29, FR</w:t>
      </w:r>
    </w:p>
    <w:p>
      <w:r>
        <w:rPr>
          <w:b/>
        </w:rPr>
        <w:t xml:space="preserve">Quelle: </w:t>
      </w:r>
      <w:r>
        <w:t>https://mcp.opencaselaw.ch/entscheid/bger_4D_63_2023</w:t>
      </w:r>
    </w:p>
    <w:p>
      <w:r>
        <w:t>FR: TF 4D_63/2023 du 29 juillet 2024</w:t>
      </w:r>
    </w:p>
    <w:p>
      <w:r>
        <w:t>IT: TF 4D_63/2023 del 29 luglio 2024</w:t>
      </w:r>
    </w:p>
    <w:p>
      <w:pPr>
        <w:pStyle w:val="Heading2"/>
      </w:pPr>
      <w:r>
        <w:t>Erwägungen</w:t>
      </w:r>
    </w:p>
    <w:p>
      <w:r>
        <w:rPr>
          <w:b/>
        </w:rPr>
        <w:t>E. 1</w:t>
      </w:r>
    </w:p>
    <w:p>
      <w:r>
        <w:t>Interjeté dans le délai fixé par la loi ( art. 100 al. 1, art. 46 al. 1 let. b et art. 117 LTF ) et dirigé contre une décision finale ( art. 90 et 117 LTF ) rendue sur appel par le tribunal supérieur du canton de Genève ( art. 75 et 114 LTF ) dans une affaire en matière civile ( art. 72 al. 1 LTF ) dont la valeur litigieuse ne satisfait pas aux conditions du recours en matière civile et dont la recourante ne prétend ni ne démontre qu'elle présenterait une question juridique de principe ( art. 74 al. 1 let. a, art. 74 al. 2 let. a et art. 113 LTF ), la voie du recours constitutionnel subsidiaire est en principe ouverte.</w:t>
      </w:r>
    </w:p>
    <w:p>
      <w:r>
        <w:rPr>
          <w:b/>
        </w:rPr>
        <w:t>E. 2.1</w:t>
      </w:r>
    </w:p>
    <w:p>
      <w:r>
        <w:t>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 Selon la jurisprudence,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rPr>
          <w:b/>
        </w:rPr>
        <w:t>E. 3</w:t>
      </w:r>
    </w:p>
    <w:p>
      <w:r>
        <w:t>Afin de déterminer qui, du défendeur ou de sa société à responsabilité limitée, était partie au contrat, et, partant, avait la légitimation passive, la cour cantonale a établi la volonté réelle des parties au moment de la conclusion de leur contrat portant sur les travaux du demandeur dans le fitness. L'autorité a considéré, en application des art. 40 et 814 al. 1 CO ainsi que de l' art. 718a al. 1 CO par renvoi de l' art. 814 al. 4 CO , que le défendeur avait agi en qualité d'organe de la société, dès lors que l'acte conclu était en lien avec le but social de celle-ci, à savoir l'exploitation du fitness. Le fait pour le demandeur d'avoir traité avec le défendeur ne lui permettait pas, dans ces circonstances, d'en déduire qu'il était lié à lui personnellement. Le demandeur savait en outre que le défendeur ne voulait pas faire apparaître le nom de sa société sur la facture en raison d'un litige avec son associé. Le demandeur avait alors libellé la facture au nom du défendeur, en tant que représentant du fitness "F.________" dans ce but, sans que cela n'ait d'influence sur la partie au contrat. Le demandeur avait ensuite adressé des courriers de rappel au défendeur en qualité de représentant du fitness et non à titre personnel. En outre, le demandeur n'avait pas expliqué dans sa demande pourquoi il considérait le défendeur comme son cocontractant à titre personnel, alors qu'il y mentionnait la société et exposait son but, ce qui n'aurait pas lieu d'être si celle-ci était étrangère à la cause. Enfin, se référant à une règle d'expérience, la cour cantonale a considéré que le demandeur devait savoir que lorsqu'un associé d'une société commande des travaux à effectuer dans les locaux de celle-ci, lesdits travaux ne sont pas commandés par l'associé à titre personnel, mais pour le compte de la société. Ainsi, la partie au contrat était la société du défendeur, et non lui-même, de sorte qu'il n'avait pas la légitimation passive.</w:t>
      </w:r>
    </w:p>
    <w:p>
      <w:r>
        <w:rPr>
          <w:b/>
        </w:rPr>
        <w:t>E. 4</w:t>
      </w:r>
    </w:p>
    <w:p>
      <w:r>
        <w:t>Le recourant se plaint d'arbitraire dans l'établissement des faits ( art. 9 Cst. ).</w:t>
      </w:r>
    </w:p>
    <w:p>
      <w:r>
        <w:rPr>
          <w:b/>
        </w:rPr>
        <w:t>E. 4.1</w:t>
      </w:r>
    </w:p>
    <w:p>
      <w:r>
        <w:t>Le recourant invoque que la cour cantonale aurait retenu de manière arbitraire que les recettes du fitness étaient encaissées par la société.</w:t>
      </w:r>
    </w:p>
    <w:p>
      <w:r>
        <w:rPr>
          <w:b/>
        </w:rPr>
        <w:t>E. 4.1.1</w:t>
      </w:r>
    </w:p>
    <w:p>
      <w:r>
        <w:t>Le recourant soutient avoir mentionné, lors de l'audience des débats principaux du 20 septembre 2022, sur demande du tribunal, que les bénéfices n'allaient pas à la société du défendeur. Selon lui, la cour cantonale aurait omis ce fait de manière arbitraire, alors qu'il figurerait au procès-verbal de l'audience du 20 septembre 2022. Dans son recours constitutionnel subsidiaire, il soutient que les produits du fitness étaient en réalité encaissés par Switch Vibration, l'entreprise individuelle de l'intimé. Aux yeux du recourant, cela doit justifier que le défendeur avait effectivement un intérêt à commander les travaux en son propre nom et pas au nom de la société et qu'il avait ainsi la légitimation passive.</w:t>
      </w:r>
    </w:p>
    <w:p>
      <w:r>
        <w:rPr>
          <w:b/>
        </w:rPr>
        <w:t>E. 4.1.2</w:t>
      </w:r>
    </w:p>
    <w:p>
      <w:r>
        <w:t>Le recourant ne soutient toutefois pas avoir allégué ce fait devant la cour cantonale. Il ne saurait par conséquent reprocher à la cour cantonale de l'avoir omis. Il aurait dû, dans sa réponse à l'appel, alléguer le fait dont il se prévaut afin que celle-ci puisse en tenir compte. De plus, le recourant invoque avoir mentionné, lors de l'audience des débats principaux, que la société n'encaissait pas les bénéfices du fitness, mais il invoque pour la première fois dans son recours constitutionnel subsidiaire, que c'était l'entreprise individuelle du défendeur qui les encaissait. Faute de démontrer l'allégation devant la cour cantonale du fait omis, le grief du recourant est irrecevable.</w:t>
      </w:r>
    </w:p>
    <w:p>
      <w:r>
        <w:rPr>
          <w:b/>
        </w:rPr>
        <w:t>E. 4.2</w:t>
      </w:r>
    </w:p>
    <w:p>
      <w:r>
        <w:t>Le recourant invoque ensuite que la cour cantonale aurait retenu de manière arbitraire que les "écritures" d'entrée et de sortie d'argent du coffre-fort mentionnées par le défendeur, étaient des "écritures comptables", ce qui, selon le recourant, laissait penser que l'argent de ce coffre était celui de la société.</w:t>
      </w:r>
    </w:p>
    <w:p>
      <w:r>
        <w:rPr>
          <w:b/>
        </w:rPr>
        <w:t>E. 4.2.1</w:t>
      </w:r>
    </w:p>
    <w:p>
      <w:r>
        <w:t>Selon le recourant, personne n'aurait jamais indiqué que les "écritures" étaient "comptables" et la cour cantonale aurait ajouté cette mention de son propre chef. Le défendeur aurait uniquement indiqué qu'il "passait des écritures même si l'argent v[enait] du coffre-fort".</w:t>
      </w:r>
    </w:p>
    <w:p>
      <w:r>
        <w:rPr>
          <w:b/>
        </w:rPr>
        <w:t>E. 4.2.2</w:t>
      </w:r>
    </w:p>
    <w:p>
      <w:r>
        <w:t>Le recourant omet également de démontrer qu'il aurait allégué ce fait devant la cour cantonale. Le tribunal de première instance ayant déjà utilisé l'expression "écriture comptable", le recourant aurait dû s'en plaindre au stade de sa réponse à l'appel, ce qu'il ne démontre pas avoir fait. Au demeurant, le recourant ne parvient pas à convaincre de la portée qu'aurait la correction de ce fait. Il est courant qu'une "écriture", passée à l'occasion de la réalisation d'un flux financier, soit dite "écriture comptable". L'utilisation de l'expression "écriture comptable" ne permet pas de qualifier le type de comptabilité employée, et donc ne permet pas de déterminer si le flux d'argent entrant ou sortant du coffre-fort, revient à une personne morale ou à une personne physique. Le recourant ne le soutient d'ailleurs pas explicitement, puisqu'il se borne à soutenir que, si la cour cantonale avait retenu qu'il s'agissait d'"écritures" et non d'"écritures comptables", elle aurait pu considérer qu'un engagement personnel du défendeur aurait été "tout à fait concevable, et même très probable". Sa critique est donc appellatoire, en ce sens qu'elle ne fait que substituer l'appréciation du recourant à celle de la cour cantonale, et, partant, elle ne satisfait pas au principe strict de l'allégation ( art. 106 al. 2 LTF ). Elle est donc irrecevable.</w:t>
      </w:r>
    </w:p>
    <w:p>
      <w:r>
        <w:rPr>
          <w:b/>
        </w:rPr>
        <w:t>E. 5.1</w:t>
      </w:r>
    </w:p>
    <w:p>
      <w:r>
        <w:t>Le recourant soulève encore une appréciation arbitraire des preuves par la cour cantonale. Il soutient: - que l'appréciation de la facture litigieuse du 15 janvier 2020 libellée au nom du fitness et non au nom de la société aurait dû conduire la cour cantonale à la conclusion que le défendeur avait la légitimation passive; - que les deux courriers de rappel du 22 septembre et du 6 octobre 2020, adressés au défendeur en tant que "représentant de F.________" devaient conduire la cour cantonale à la conclusion que la société n'était pas impliquée contractuellement, mais que le défendeur l'était; - que le courrier du mandataire du défendeur du 12 octobre 2020 et qui avait pour objet "F.________, Monsieur C.________" et non le nom de la société, aurait dû mener la cour cantonale à la conclusion que le défendeur était partie au contrat et non la société, ce d'autant plus que le mandataire en question n'avait pas contesté dans ce courrier la qualité de partie au contrat du défendeur; - que la volonté du défendeur, que le nom de la société n'apparaisse pas sur les factures en raison d'un conflit entre lui et son associé aurait dû conduire à la conclusion que le défendeur était partie au contrat et non la société; - que le recourant demandeur avait mentionné la société dans un allégué de sa demande non pas parce qu'il la considérait comme "rattachée" à la cause, mais uniquement pour poser le cadre et présenter les activités du défendeur, de sorte que la cour cantonale ne devait pas considérer cet allégué comme une admission de la légitimation passive de la société; - qu'enfin il est erroné de considérer que le défendeur ne tirait pas de bénéfice direct du fitness, ce qui n'avait pas été contesté par le défendeur, alors que le demandeur l'aurait allégué.</w:t>
      </w:r>
    </w:p>
    <w:p>
      <w:r>
        <w:rPr>
          <w:b/>
        </w:rPr>
        <w:t>E. 5.2</w:t>
      </w:r>
    </w:p>
    <w:p>
      <w:r>
        <w:t>La critique du recourant mélange en réalité, pêle-mêle, une critique de violation du fardeau de l'allégation objectif ( objektive Behautpungslast; onere di allegazione oggettivo ) ( ATF 143 III 1 consid. 4.1; arrêt 4A_566/2020 du 27 septembre 2021 consid. 5.2.2), laquelle constitue un grief de violation du droit, dont le recourant ne parvient pas à démontrer qu'elle serait manifeste ( ATF 133 III 462 consid. 4.4.1) et une critique d'établissement inexact des faits qui ne répond pas au réquisit de l' art. 106 al. 2 LTF (par renvoi de l' art. 117 LTF ). Pour le surplus, le recourant se limite à substituer sa propre appréciation des preuves à celle de la cour cantonale, sans toutefois démontrer en quoi le raisonnement de la cour cantonale serait arbitraire. En effet, le recourant se limite à soutenir qu'une appréciation différente des preuves administrées, en l'espèce une facture, des courriers de rappel et un courrier du conseil du défendeur, aurait pu conduire à la conclusion que le défendeur était personnellement lié au contrat. Cela ne rend pas le raisonnement de la cour cantonale arbitraire pour autant. Et pour cause: le recourant ne s'en prend pas vraiment à la motivation de la cour cantonale par laquelle elle est parvenue, au terme de l'établissement de la volonté réelle des parties, à la conclusion que le recourant n'avait pas contracté avec le défendeur, mais avec la société. Par conséquent, faute de s'en prendre au raisonnement de la cour cantonale, sa critique est irrecevable.</w:t>
      </w:r>
    </w:p>
    <w:p>
      <w:r>
        <w:rPr>
          <w:b/>
        </w:rPr>
        <w:t>E. 6</w:t>
      </w:r>
    </w:p>
    <w:p>
      <w:r>
        <w:t>Au vu de ce qui précède, le recours constitutionnel subsidiaire doit être déclaré irrecevable aux frais de son auteur ( art. 66 al. 1 LTF ). La partie adverse n'ayant pas été invitée à se déterminer,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