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63/2020 vom 5. Januar 2021</w:t>
      </w:r>
    </w:p>
    <w:p>
      <w:r>
        <w:t>Bundesgericht, 2021-01-05, DE</w:t>
      </w:r>
    </w:p>
    <w:p>
      <w:r>
        <w:rPr>
          <w:b/>
        </w:rPr>
        <w:t xml:space="preserve">Quelle: </w:t>
      </w:r>
      <w:r>
        <w:t>https://mcp.opencaselaw.ch/entscheid/bger_4D_63_2020</w:t>
      </w:r>
    </w:p>
    <w:p>
      <w:r>
        <w:t>FR: TF 4D 63/2020 du 5 janvier 2021</w:t>
      </w:r>
    </w:p>
    <w:p>
      <w:r>
        <w:t>IT: TF 4D 63/2020 del 5 gennaio 2021</w:t>
      </w:r>
    </w:p>
    <w:p>
      <w:pPr>
        <w:pStyle w:val="Heading2"/>
      </w:pPr>
      <w:r>
        <w:t>Regeste</w:t>
      </w:r>
    </w:p>
    <w:p>
      <w:r>
        <w:t>unentgeltliche Rechtspflege, | Vertragsrecht</w:t>
      </w:r>
    </w:p>
    <w:p>
      <w:pPr>
        <w:pStyle w:val="Heading2"/>
      </w:pPr>
      <w:r>
        <w:t>Erwägungen</w:t>
      </w:r>
    </w:p>
    <w:p>
      <w:r>
        <w:rPr>
          <w:b/>
        </w:rPr>
        <w:t>E. 1</w:t>
      </w:r>
    </w:p>
    <w:p>
      <w:r>
        <w:t>Mit Entscheid vom 21. April 2020 wies der Einzelrichter des Kreisgerichts Rorschach eine vom Beschwerdeführer erhobene Schadenersatzklage ab und befahl ihm unter Androhung von Ersatzmassnahmen im Nichtbeachtungsfall, die 4-Zimmer-Wohnung an der U.________- strasse in V.________ unverzüglich zu räumen. Der Beschwerdeführer focht diesen Entscheid beim Kantonsgericht St. Gallen an und ersuchte gleichzeitig um Gewährung der unentgeltlichen Rechtspflege für das Rechtsmittelverfahren. Mit Entscheid vom 29. September 2020 wies das Kantonsgericht das Gesuch um Bewilligung der unentgeltlichen Rechtspflege ab und setzte dem Beschwerdeführer Frist zur Leistung eines Kostenvorschusses an. Gegen den kantonsgerichtlichen Entscheid vom 29. September 2020 erhob der Beschwerdeführer mit Eingabe vom 2. November 2020 Beschwerde an das Bundesgericht. Es wurden keine Vernehmlassungen eingeholt.</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S. 88 f., 115 E. 2 S. 116). Eine allfällige Verletzung von Grundrechten wird vom Bundesgericht nicht von Amtes wegen geprüft, sondern nur insofern, als eine solche Rüge in der Beschwerde präzise vorgebracht und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S. 89, 115 E. 2 S. 116). Die Begründung hat ferner in der Beschwerdeschrift selbst zu erfolgen und der blosse Verweis auf Ausführungen in anderen Rechtsschriften oder auf die Akten reicht nicht aus ( BGE 143 II 283 E. 1.2.3; 140 III 115 E. 2 S. 116). Stützt sich der angefochtene Entscheid auf mehrere selbständige Begründungen, so muss sich die Beschwerde mit jeder einzelnen auseinandersetzen, sonst wird darauf nicht eingetreten ( BGE 142 III 364 E. 2.4 S. 368 mit Hinweisen; vgl. auch BGE 143 IV 40 E. 3.4 S. 44).</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Für eine Kritik am festgestellten Sachverhalt gilt ebenfalls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Zunächst kann auf die Beschwerde von vornherein nicht eingetreten werden, soweit sie sich unmittelbar gegen den Entscheid des Einzelrichters des Kreisgerichts Rorschach vom 21. April 2020 richtet, da es sich dabei nicht um einen letztinstanzlichen Entscheid im Sinne von Art. 75 Abs. 1 BGG handelt. Soweit der Beschwerdeführer der Vorinstanz Befangenheit vorwirft, genügen seine Ausführungen den gesetzlichen Begründungsanforderungen offensichtlich nicht. Allgemein schildert der Beschwerdeführer dem Bundesgericht in seiner Eingabe vom 2. November 2020 in frei gehaltenen Ausführungen seine Sicht der Dinge zu den Hintergründen des mietrechtlichen Streits sowie zum Ablauf des kantonalen Verfahrens. Dabei geht er nicht hinreichend auf die konkreten Erwägungen des angefochtenen Entscheids ein und zeigt auf, inwiefern der Vorinstanz bei der Beurteilung des Gesuchs um unentgeltliche Rechtspflege eine Verletzung von Bundesrecht vorzuwerfen wäre. Die Eingabe erfüllt die erwähnten Begründungsanforderungen offensichtlich nicht. Auf die Beschwerde ist somit mangels hinreichender Begründung nicht einzutreten ( Art. 108 Abs. 1 lit. b BGG ).</w:t>
      </w:r>
    </w:p>
    <w:p>
      <w:r>
        <w:rPr>
          <w:b/>
        </w:rPr>
        <w:t>E. 4</w:t>
      </w:r>
    </w:p>
    <w:p>
      <w:r>
        <w:t>Das Gesuch um Gewährung der unentgeltlichen Rechtspflege für das bundesgerichtliche Verfahren ist abzuweisen, weil die Beschwerde von vornherein aussichtslos war ( Art. 64 Abs. 1 BGG ). Dem Ausgang des Verfahrens entsprechend wird der Beschwerdeführer kostenpflichtig ( Art. 66 Abs. 1 BGG ). Dem Beschwerdegegner ist keine Parteientschädigung zuzusprechen ( Art. 68 Abs. 3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