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63/2013 vom 18. Februar 2014</w:t>
      </w:r>
    </w:p>
    <w:p>
      <w:r>
        <w:t>Bundesgericht, 2014-02-18, FR</w:t>
      </w:r>
    </w:p>
    <w:p>
      <w:r>
        <w:rPr>
          <w:b/>
        </w:rPr>
        <w:t xml:space="preserve">Quelle: </w:t>
      </w:r>
      <w:r>
        <w:t>https://mcp.opencaselaw.ch/entscheid/bger_4D_63_2013</w:t>
      </w:r>
    </w:p>
    <w:p>
      <w:r>
        <w:t>FR: TF 4D 63/2013 du 18 février 2014</w:t>
      </w:r>
    </w:p>
    <w:p>
      <w:r>
        <w:t>IT: TF 4D 63/2013 del 18 febbraio 2014</w:t>
      </w:r>
    </w:p>
    <w:p>
      <w:pPr>
        <w:pStyle w:val="Heading2"/>
      </w:pPr>
      <w:r>
        <w:t>Regeste</w:t>
      </w:r>
    </w:p>
    <w:p>
      <w:r>
        <w:t>contrat d'entreprise | Droit des contrats</w:t>
      </w:r>
    </w:p>
    <w:p>
      <w:pPr>
        <w:pStyle w:val="Heading2"/>
      </w:pPr>
      <w:r>
        <w:t>Erwägungen</w:t>
      </w:r>
    </w:p>
    <w:p>
      <w:r>
        <w:rPr>
          <w:b/>
        </w:rPr>
        <w:t>E. 1.1</w:t>
      </w:r>
    </w:p>
    <w:p>
      <w:r>
        <w:t>La valeur litigieuse, déterminée par les conclusions prises devant l'autorité précédente, est inférieure au seuil de 30'000 fr. requis pour le recours en matière civile ( art. 51 al. 1 let. a et art. 74 al. 1 let. b LTF ). Subsiste le recours constitutionnel subsidiaire ( art. 113 LTF ).</w:t>
      </w:r>
    </w:p>
    <w:p>
      <w:r>
        <w:rPr>
          <w:b/>
        </w:rPr>
        <w:t>E. 1.2</w:t>
      </w:r>
    </w:p>
    <w:p>
      <w:r>
        <w:t>Cette voie de droit n'autorise qu'un seul type de grief: la violation des droits constitutionnels ( art. 116 LTF ). Pour ceux-ci prévaut le principe d'allégation (cf. art. 106 al. 2 LTF en liaison avec l' art. 117 LTF ) : le recourant doit dire quel droit ou principe constitutionnel a été violé et exposer de manière claire et circonstanciée, si possible documentée, en quoi consiste la violation. Des critiques de type purement appellatoire ne sont pas admissibles ( ATF 135 III 232 consid. 1.2; 134 II 244 consid. 2.2; 133 II 249 consid. 1.4.2 et 1.4.3).</w:t>
      </w:r>
    </w:p>
    <w:p>
      <w:r>
        <w:rPr>
          <w:b/>
        </w:rPr>
        <w:t>E. 1.3</w:t>
      </w:r>
    </w:p>
    <w:p>
      <w:r>
        <w:t>Le Tribunal fédéral statue sur la base des faits établis par l'autorité précédente, si la partie recourante ne démontre pas que les constatations déterminantes soient intervenues en violation de ses droits constitutionnels ( art. 118 LTF ; ATF 133 III 439 consid. 3.2 p. 445; cf. aussi ATF 133 III 393 consid. 7.1 p. 398). Au vu de ce qui précède, il n'y a pas à tenir compte des faits présentés par les recourants, en tant qu'ils s'écartent des constatations de l'arrêt attaqué sans satisfaire aux exigences précitées.</w:t>
      </w:r>
    </w:p>
    <w:p>
      <w:r>
        <w:rPr>
          <w:b/>
        </w:rPr>
        <w:t>E. 2.1</w:t>
      </w:r>
    </w:p>
    <w:p>
      <w:r>
        <w:t>Les recourants dénoncent une application arbitraire des art. 18 et 363 CO . En substance, ils reprochent à l'autorité précédente d'avoir refusé de retenir l'existence d'un contrat d'entreprise générale à prix forfaitaire, procédant à une interprétation insoutenable des faits établis.</w:t>
      </w:r>
    </w:p>
    <w:p>
      <w:r>
        <w:rPr>
          <w:b/>
        </w:rPr>
        <w:t>E. 2.2</w:t>
      </w:r>
    </w:p>
    <w:p>
      <w:r>
        <w:t>L' art. 373 al. 1 CO énonce que lorsque le prix de l'ouvrage a été fixé à forfait, l'entrepreneur est tenu d'exécuter l'ouvrage pour la somme fixée; il ne peut réclamer aucune augmentation, même si l'ouvrage a exigé plus de travail ou de dépenses que ce qui avait été prévu. Le prix convenu n'est déterminant que pour l'ouvrage alors projeté, sans modifications qualitatives ou quantitatives (arrêt 4C.203/2005 du 9 janvier 2006 consid. 4.1, rés. in DC 2006 p. 66 n° 211). Les modifications de commande donnent droit à une augmentation du prix dans la mesure où elles ont nécessité des prestations supplémentaires de l'entrepreneur; sauf convention spéciale, cette rémunération se calcule sur la base de l' art. 374 CO , c'est-à-dire d'après la valeur du travail et les dépenses de l'entrepreneur ( ATF 113 II 513 consid. 3b; cf. par ex. PETER GAUCH, Der Werkvertrag, 5 e éd. 2011, n os 905-905a; TERCIER ET ALII, Les contrats spéciaux, 4 e éd. 2009, n° 4685). Il n'est pas nécessaire que le maître ait commandé les travaux supplémentaires pour qu'ils soient mis à sa charge; il suffit qu'il les ait acceptés (arrêt 4C.375/1993 du 20 juin 1994 consid. 3c, rés. in SJ 1995 p. 100). En pratique, il est difficile de déterminer si une modification de commande alléguée existe réellement, ou si une prestation prétendument supplémentaire fait encore partie des prestations convenues à l'origine. Il convient d'interpréter le contrat d'entreprise pour déterminer quelles prestations l'entrepreneur devait initialement fournir (cf. arrêts 4A_291/2007 du 29 octobre 2007 consid. 4.3, rés. in DC 2008 p. 68 n° 131; 4C.23/2004 du 14 décembre 2004 consid. 4.1; GAUCH, op. cit., n° 906). De même, lorsqu'il s'agit de déterminer dans quelle mesure un devis a été dépassé, les modifications de commande demandées - ou à tout le moins acceptées - par le maître ne sont pas prises en compte; elles doivent être rémunérées normalement ( TERCIER ET ALII, op. cit., n° 4737, à propos de l' art. 375 CO ).</w:t>
      </w:r>
    </w:p>
    <w:p>
      <w:r>
        <w:rPr>
          <w:b/>
        </w:rPr>
        <w:t>E. 2.3</w:t>
      </w:r>
    </w:p>
    <w:p>
      <w:r>
        <w:t>En l'occurrence, l'autorité précédente a considéré que les travaux de gypserie dont l'entreprise réclamait le paiement constituaient des travaux supplémentaires, non compris dans le devis du 12 juillet 2006 chiffrant le coût total de l'ouvrage à 490'000 fr. Les maîtres avaient accepté ces travaux supplémentaires, qui donnaient ainsi droit à une rémunération calculée selon le travail et les dépenses de l'entrepreneur, à défaut d'accord contraire ( art. 374 CO ). L'autorité d'appel a donc retenu une modification de commande entraînant des prestations supplémentaires sujettes à rémunération, s'écartant ainsi de l'analyse du premier juge, qui estimait que l'entreprise n'avait pas rapporté la preuve d'une telle modification. Les recourants ne soulèvent pas le moindre grief à ce sujet. En particulier, ils ne cherchent pas à démontrer que l'ouvrage tel qu'initialement convenu devait inclure les travaux de gypserie et qu'une autre conclusion serait insoutenable. Ils ne plaident pas non plus que l'autorité précédente aurait arbitrairement méconnu qu'il incombait à l'entreprise de prouver l'existence d'une modification de commande, et qu'elle avait succombé sur ce point. La cour de céans est donc liée par l'analyse du juge d'appel. Or, celle-ci scelle le sort de la cause, indépendamment d'un éventuel engagement à livrer la villa pour le prix maximal de 490'000 fr., ou d'une éventuelle responsabilité pour l'estimation du coût des travaux et le dépassement de celle-ci. Dans ce contexte, la question de savoir si les parties ont ou non conclu un contrat d'entreprise générale est sans incidence pour l'issue de la cause. Le recours ne peut dès lors qu'être rejeté.</w:t>
      </w:r>
    </w:p>
    <w:p>
      <w:r>
        <w:rPr>
          <w:b/>
        </w:rPr>
        <w:t>E. 3</w:t>
      </w:r>
    </w:p>
    <w:p>
      <w:r>
        <w:t>Les recourants, qui succombent, sont condamnés solidairement aux frais et dépens de la présente procédure (art. 66 al. 1 et 5,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