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62/2024 vom 29. Mai 2024</w:t>
      </w:r>
    </w:p>
    <w:p>
      <w:r>
        <w:t>Bundesgericht, 2024-05-29, DE</w:t>
      </w:r>
    </w:p>
    <w:p>
      <w:r>
        <w:rPr>
          <w:b/>
        </w:rPr>
        <w:t xml:space="preserve">Quelle: </w:t>
      </w:r>
      <w:r>
        <w:t>https://mcp.opencaselaw.ch/entscheid/bger_4D_62_2024</w:t>
      </w:r>
    </w:p>
    <w:p>
      <w:r>
        <w:t>FR: TF 4D 62/2024 du 29 mai 2024</w:t>
      </w:r>
    </w:p>
    <w:p>
      <w:r>
        <w:t>IT: TF 4D 62/2024 del 29 maggio 2024</w:t>
      </w:r>
    </w:p>
    <w:p>
      <w:pPr>
        <w:pStyle w:val="Heading2"/>
      </w:pPr>
      <w:r>
        <w:t>Regeste</w:t>
      </w:r>
    </w:p>
    <w:p>
      <w:r>
        <w:t>Definitive Rechtsöffnung, | Schuldbetreibungs- und Konkursrecht</w:t>
      </w:r>
    </w:p>
    <w:p>
      <w:pPr>
        <w:pStyle w:val="Heading2"/>
      </w:pPr>
      <w:r>
        <w:t>Erwägungen</w:t>
      </w:r>
    </w:p>
    <w:p>
      <w:r>
        <w:rPr>
          <w:b/>
        </w:rPr>
        <w:t>E. 1</w:t>
      </w:r>
    </w:p>
    <w:p>
      <w:r>
        <w:t>In der Betreibung betreffend Zahlungsbefehl Nr. xxx des Betreibungsamtes X.________ vom 14. September 2023 schrieb der Einzelrichter am Kreisgericht Toggenburg das Verfahren betreffend definitiver Rechtsöffnung mit Entscheid vom 18. März 2024 als gegenstandslos ab. Er wies das Gesuch des Beschwerdeführers um unentgeltliche Rechtspflege ab, auferlegte ihm die Gerichtskosten von Fr. 140.--, unter Verrechnung des von den Beschwerdegegnern geleisteten Kostenvorschusses und unter Einräumung des Rückgriffsrechts hierfür auf den Beschwerdeführer, und verpflichtete diesen überdies zur Bezahlung einer Parteientschädigung von Fr. 50.--. Gegen diesen Entscheid erhob der Beschwerdeführer Beschwerde an das Kantonsgericht St. Gallen. Das Kantonsgericht wies mit Entscheid vom 12. April 2024 die Beschwerde ab, soweit es darauf eintrat. Gegen den Entscheid des Kantonsgerichts erhebt der Beschwerdeführer mit Eingabe vom 30. April 2024 Beschwerde an das Bundesgericht. Mit Verfügung vom 1. Mai 2024 wurde des Gesuch des Beschwerdeführers um Gewährung der aufschiebenden Wirkung abgewiesen, da die Beschwerde als aussichtslos erscheine. Mit Schreiben vom gleichen Tag wurde dem Beschwerdeführer mitgeteilt, dass mit Rücksicht auf sein Gesuch um unentgeltliche Rechtspflege von der Einforderung eines Kostenvorschusses einstweilen abgesehen, über sein Gesuch um unentgeltliche Rechtspflege indessen später entschieden werde.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Der Streitwert beträgt nach der unbestrittenen Feststellung der Vorinstanz unter Fr. 1'000.--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rügt darin zwar eine Verletzung von Art. 6 EMRK , Art. 9 und 29 BV sowie des Grundsatzes von Treu und Glauben. Er schildert in seiner Eingabe aber bloss seine eigene Sicht der Dinge, ohne indessen auf die Erwägungen der Vorinstanz hinreichend konkret einzugehen, geschweige denn nachvollziehbar aufzuzeigen, inwiefern die Vorinstanz seine genannten verfassungsmässigen Rechte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