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4D_62/2023 vom 7. Juni 2024</w:t>
      </w:r>
    </w:p>
    <w:p>
      <w:r>
        <w:t>Bundesgericht, 2024-06-07, FR</w:t>
      </w:r>
    </w:p>
    <w:p>
      <w:r>
        <w:rPr>
          <w:b/>
        </w:rPr>
        <w:t xml:space="preserve">Quelle: </w:t>
      </w:r>
      <w:r>
        <w:t>https://mcp.opencaselaw.ch/entscheid/bger_4D_62_2023</w:t>
      </w:r>
    </w:p>
    <w:p>
      <w:r>
        <w:t>FR: TF 4D_62/2023 du 7 juin 2024</w:t>
      </w:r>
    </w:p>
    <w:p>
      <w:r>
        <w:t>IT: TF 4D_62/2023 del 7 giugno 2024</w:t>
      </w:r>
    </w:p>
    <w:p>
      <w:pPr>
        <w:pStyle w:val="Heading2"/>
      </w:pPr>
      <w:r>
        <w:t>Erwägungen</w:t>
      </w:r>
    </w:p>
    <w:p>
      <w:r>
        <w:rPr>
          <w:b/>
        </w:rPr>
        <w:t>E. 1.1</w:t>
      </w:r>
    </w:p>
    <w:p>
      <w:r>
        <w:t>La valeur litigieuse de cette affaire civile pécuniaire n'atteint pas le seuil de 30'000 fr. auquel l' art. 74 al. 1 let. b LTF subordonne la recevabilité du recours en matière civile. Le recourant admet par ailleurs implicitement qu'aucune des exceptions prévues par l' art. 74 al. 2 LTF n'est réalisée. Partant, seul le recours constitutionnel subsidiaire est ouvert ( art. 113 LTF ).</w:t>
      </w:r>
    </w:p>
    <w:p>
      <w:r>
        <w:rPr>
          <w:b/>
        </w:rPr>
        <w:t>E. 1.2</w:t>
      </w:r>
    </w:p>
    <w:p>
      <w:r>
        <w:t>Le recours a été déposé en temps utile ( art. 117, art. 100 al. 1 et art. 45 LTF ) contre une décision finale ( art. 117 et art. 90 LTF ) prise en dernière instance cantonale et sur recours par un tribunal supérieur ( art. 114 et art. 75 LTF ), par une partie qui a pris part à la procédure devant l'autorité précédente et a un intérêt juridique à la modification de la décision attaquée ( art. 115 LTF ). Le recours constitutionnel subsidiaire est dès lors recevable. Demeure réservé l'examen de la recevabilité des griefs invoqués par le recourant.</w:t>
      </w:r>
    </w:p>
    <w:p>
      <w:r>
        <w:rPr>
          <w:b/>
        </w:rPr>
        <w:t>E. 2.1</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p. 18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262).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 134 V 53 consid. 4.3; 129 I 8 consid. 2.1). Il ne suffit pas qu'une appréciation différente puisse être tenue pour également concevable, ou apparaisse même préférable ( ATF 144 I 170 consid. 7.3; 142 II 369 consid. 4.3; 140 III 167 consid. 2.1).</w:t>
      </w:r>
    </w:p>
    <w:p>
      <w:r>
        <w:rPr>
          <w:b/>
        </w:rPr>
        <w:t>E. 2.2</w:t>
      </w:r>
    </w:p>
    <w:p>
      <w:r>
        <w:t>Comme son nom l'indique, le recours constitutionnel subsidiaire peut être formé uniquement pour violation des droits constitutionnels ( art. 116 LTF ). Pour ce type de grief prévaut une exigence de motivation accrue. Selon le principe de l'allégation, la partie recourante doit indiquer quel droit constitutionnel a été violé, en expliquant de façon circonstanciée en quoi réside la violation ( art. 106 al. 2 LTF , applicable par analogie en vertu de l' art. 117 LTF ; ATF 134 II 244 consid. 2.2; 133 II 396 consid. 3.2). Lorsqu'il soulève le grief d'arbitraire ( art. 9 Cst. ) dans l'application du droit, le recourant ne peut se contenter de plaider que la décision attaquée serait arbitraire. Il doit expliquer, sur la base de la subsomption opérée dans le cas concret, en quoi la décision attaquée méconnaît gravement une norme ou un principe juridique clair et indiscuté, ou encore heurte de manière choquante le sentiment de la justice et de l'équité. L'arbitraire, prohibé par l' art. 9 Cst. , ne résulte pas du seul fait qu'une autre solution serait concevable, voire préférable. Le Tribunal fédéral ne s'écarte de la solution retenue par l'autorité cantonale de dernière instance que si la décision entreprise apparaît insoutenable, en contradiction manifeste avec la situation effective, adoptée sans raisons objectives ou en violation d'un droit certain. Il ne suffit pas que les motifs de la décision soient insoutenables; encore faut-il que celle-ci soit arbitraire dans son résultat ( ATF 144 III 145 consid. 2; 141 III 564 consid. 4.1; 140 III 16 consid. 2.1; 139 III 334 consid. 3.2.5; 136 III 552 consid. 4.2).</w:t>
      </w:r>
    </w:p>
    <w:p>
      <w:r>
        <w:rPr>
          <w:b/>
        </w:rPr>
        <w:t>E. 2.3</w:t>
      </w:r>
    </w:p>
    <w:p>
      <w:r>
        <w:t>En l'occurrence, l'acte de recours soumis au Tribunal fédéral ne satisfait manifestement pas aux exigences rappelées ci-dessus. Dans son mémoire de recours qui s'étend sur cinquante pages, le recourant expose une version de son propre cru des circonstances de la cause. Il consacre une partie considérable de ce mémoire à retranscrire in extenso des extraits de l'arrêt attaqué et de son mémoire d'appel. A titre d'exemple, pour son premier "motif d'appel" (sic), le recourant cite sur six pages des extraits de l'arrêt attaqué qu'il fait suivre d'extraits de son mémoire d'appel retranscrits sur près de seize pages. Pour son deuxième grief, il recopie encore sur quatre pages son mémoire d'appel et pour le dernier, il en reprend encore un extrait sur près de huit pages. Ce procédé contrevient aux exigences de motivation requises, le recourant ne s'en prenant par-là manifestement pas à la décision attaquée. S'ensuit l'irrecevabilité de la critique formulée dans les extraits précités. Les paragraphes qui suivent ou précèdent les extraits en question, mêlant le fait et le droit, ne répondent pas davantage à l'exigence de motivation accrue prescrite par l' art. 106 al. 2 LTF . Dans un premier grief, le recourant reproche à la cour cantonale d'avoir versé dans l'arbitraire ( art. 9 Cst. ) en n'examinant pas à quel titre le versement de 150'000 fr. avait été effectué par l'intimée ( supra let. B.b). Cette question formerait selon lui "un tout indissociable" avec le montant qui lui est réclamé, à moins que ce soient les versions de chacune des parties qui s'avéreraient indissolubles (son mémoire n'est pas clair), et serait déterminante pour juger de "la crédibilité de [l'intimée]". Par ailleurs, la motivation de la cour cantonale serait "lacunaire et ne rempli[rait] pas l'exigence de motivation suffisante de la décision au sens de l' art. 238 let . g CPC". Si la cour cantonale a considéré qu'il n'était pas nécessaire pour elle de qualifier juridiquement le versement de 150'000 fr., c'est - comme elle l'a fort bien indiqué - parce que le recourant n'avait pas apporté la preuve de la créance qui aurait été compensée avec celle résultant du prêt conclu entre les parties le 26 janvier 2018. Le Tribunal fédéral ne cerne pas sur quel point ce raisonnement serait arbitraire, l'explication fournie par le recourant demeurant impénétrable, respectivement sur quel aspect cette motivation serait lacunaire. Le grief corrélatif doit être rejeté, dans la mesure où il est recevable. Dans un deuxième grief, le recourant soutient que l'instance précédente "n'a pas examiné la recevabilité des faits et moyens de preuves nouveaux contenu[s] dans le courrier du 2 avril 2022", soit la "liste des transferts de biens immobiliers effectués par [l'intimée] en Allemagne de 2014 à 2019". Le recourant feint d'ignorer le considérant 3.5 de l'arrêt entrepris, où la cour cantonale se rallie au raisonnement de l'autorité de première instance, en considérant que le recourant n'a pas suffisamment allégué les faits qui fonderaient une créance de participation aux bénéfices ( supra let. B.b). Cela étant, il ne discute aucunement les motifs à la base de la décision attaquée et n'indique pas en quoi cette motivation enfreindrait le droit fédéral, exigence qui s'imposait pourtant à lui ( ATF 140 III 86 consid. 2). Exprimé différemment, il ne démontre pas en quoi il serait arbitraire de retenir que ses allégations étaient trop lacunaires pour permettre l'administration des preuves requises et ne satisfait ainsi pas à l'exigence de motivation qui s'impose à lui. Enfin, dans un dernier grief, le recourant relève que la cour cantonale aurait versé dans l'arbitraire en déclarant irrecevable le moyen de preuve qu'il a produit le 9 juin 2022 ( supra let. B.b). Dans un développement nébuleux, on croît discerner qu'il reproche à la cour cantonale d'avoir appliqué l' art. 317 CPC . Selon lui, "[l']application de l' art. 317 al. 1 CPC ne saurait emporter le pas et heurter de manière choquante le sentiment de justice" puisque, à le lire, la pièce qu'il a produite "contredi[rait] totalement la version des faits de [l'intimée]" de sorte qu'il serait arbitraire de l'écarter. Ici encore, on ne retrouve aucune trace des motifs pour lesquels la cour cantonale a estimé que la production en appel de la pièce en question ne remplissait pas les conditions légales, ce alors que le recourant devait impérativement mettre le doigt sur les failles prétendument arbitraires de ce raisonnement, ce qui scelle ce grief du sceau de l'irrecevabilité. Somme toute, le recours doit être rejeté, dans la faible mesure où il est recevable.</w:t>
      </w:r>
    </w:p>
    <w:p>
      <w:r>
        <w:rPr>
          <w:b/>
        </w:rPr>
        <w:t>E. 3</w:t>
      </w:r>
    </w:p>
    <w:p>
      <w:r>
        <w:t>Le recourant, qui succombe, supportera les frais de procédure ( art. 66 al. 1 LTF ), mais sera dispensé de verser des dépens à l'intimée puisque celle-ci n'a pas eu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