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4D_61/2025 vom 27. Mai 2025</w:t>
      </w:r>
    </w:p>
    <w:p>
      <w:r>
        <w:t>Bundesgericht, 2025-05-27, DE</w:t>
      </w:r>
    </w:p>
    <w:p>
      <w:r>
        <w:rPr>
          <w:b/>
        </w:rPr>
        <w:t xml:space="preserve">Quelle: </w:t>
      </w:r>
      <w:r>
        <w:t>https://mcp.opencaselaw.ch/entscheid/bger_4D_61_2025</w:t>
      </w:r>
    </w:p>
    <w:p>
      <w:r>
        <w:t>FR: TF 4D_61/2025 du 27 mai 2025</w:t>
      </w:r>
    </w:p>
    <w:p>
      <w:r>
        <w:t>IT: TF 4D_61/2025 del 27 maggio 2025</w:t>
      </w:r>
    </w:p>
    <w:p>
      <w:pPr>
        <w:pStyle w:val="Heading2"/>
      </w:pPr>
      <w:r>
        <w:t>Erwägungen</w:t>
      </w:r>
    </w:p>
    <w:p>
      <w:r>
        <w:rPr>
          <w:b/>
        </w:rPr>
        <w:t>E. 1.1</w:t>
      </w:r>
    </w:p>
    <w:p>
      <w:r>
        <w:t>Mit Entscheid vom 13. November 2024 erteilte das Zivilgericht Basel-Stadt dem Beschwerdegegner in der Betreibung Nr. xxx des Betreibungsamts Basel-Stadt gegen die Beschwerdeführerin die definitive Rechtsöffnung über einen Betrag von Fr. 9'518.30 nebst Zinsen und Gebühren.</w:t>
      </w:r>
    </w:p>
    <w:p>
      <w:r>
        <w:rPr>
          <w:b/>
        </w:rPr>
        <w:t>E. 1.2</w:t>
      </w:r>
    </w:p>
    <w:p>
      <w:r>
        <w:t>Mit Entscheid vom 6. Februar 2025 hiess das Appellationsgericht Basel-Stadt die Beschwerde der Beschwerdeführerin gegen den Entscheid des Zivilgerichts Basel-Stadt vom 13. November 2024 gut, hob den Entscheid auf und wies die Sache zur Neuansetzung einer Frist zur Stellungnahme zum Rechtsöffnungsgesuch vom 19. September 2024 und zur anschliessenden Neubeurteilung an das Zivilgericht zurück. Es erwog im Wesentlichen, die Verfügung zur Einreichung einer Stellungnahme zum Rechtsöffnungsgesuch sei der Beschwerdeführerin bis zum angefochtenen erstinstanzlichen Entscheid nie ordnungsgemäss zugestellt worden und die Erstinstanz habe damit den Anspruch der Beschwerdeführerin auf rechtliches Gehör verletzt.</w:t>
      </w:r>
    </w:p>
    <w:p>
      <w:r>
        <w:rPr>
          <w:b/>
        </w:rPr>
        <w:t>E. 1.3</w:t>
      </w:r>
    </w:p>
    <w:p>
      <w:r>
        <w:t>Mit Eingabe vom 18. März 2025 erklärte die Beschwerdeführerin dem Bundesgericht, Beschwerde gegen den Entscheid des Appellationsgerichts Basel-Stadt vom 6. Februar 2025 führen zu wollen. Die Beschwerdeführerin wendete sich mit Eingaben vom 14. April und vom 28. April 2025 sowie telefonisch an das Bundesgericht und erklärte, ihre finanzielle Situation liesse es nicht zu, den Kostenvorschuss für das bundesrechtliche Verfahren zu begleichen.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w:t>
      </w:r>
    </w:p>
    <w:p>
      <w:r>
        <w:rPr>
          <w:b/>
        </w:rPr>
        <w:t>E. 2.2</w:t>
      </w:r>
    </w:p>
    <w:p>
      <w:r>
        <w:t>Beim angefochtenen Rückweisungsentscheid des Appellationsgerichts Basel-Stadt vom 6. Februar 2025 handelt es sich um einen Zwischenentscheid im Sinne von Art. 93 BGG . Die Beschwerdeführerin äussert sich nicht zum nicht wieder gutzumachenden Nachteil, der ihr aus einem späteren günstigen Endentscheid erwachsen soll. Ein solcher springt auch nicht geradezu ins Auge, zumal durch die Rückweisung an die Erstinstanz die Verletzung ihres Anspruchs auf rechtliches Gehör beseitigt und die Streitsache erst gestützt darauf neu beurteilt werden soll. Die Beschwerdeführerin versucht, sich mit ihrer Beschwerde beim Bundesgericht hinsichtlich der Gewährung der definitiven Rechtsöffnung Gehör zu verschaffen, obwohl sie ihre Vorbringen auch gegen einen späteren Endentscheid richten könnte. Die Beschwerde gegen den Rückweisungsentscheid erweist sich deshalb als offensichtlich unzulässig.</w:t>
      </w:r>
    </w:p>
    <w:p>
      <w:r>
        <w:rPr>
          <w:b/>
        </w:rPr>
        <w:t>E. 2.3</w:t>
      </w:r>
    </w:p>
    <w:p>
      <w:r>
        <w:t>Auf die Beschwerde ist daher im vereinfachten Verfahren nach Art. 108 Abs. 1 lit. a BGG nicht einzutreten.</w:t>
      </w:r>
    </w:p>
    <w:p>
      <w:r>
        <w:rPr>
          <w:b/>
        </w:rPr>
        <w:t>E. 3</w:t>
      </w:r>
    </w:p>
    <w:p>
      <w:r>
        <w:t>Das sinngemäss gestellte Gesuch um unentgeltliche Rechtspflege für das bundesgerichtliche Verfahren ist bereits wegen Aussichtslosigkeit der Beschwerde abzuweisen ( Art. 64 Abs. 1 BGG ). Die Beschwerdeführerin wird bei diesem Verfahrensausgang kostenpflichtig ( Art. 66 Abs. 1 BGG ). Dem Beschwerdegegner ist keine Parteientschädigung zuzusprechen ( Art. 68 Abs. 3 BGG ), zumal ihm aus den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