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4D_61/2019 vom 21. November 2019</w:t>
      </w:r>
    </w:p>
    <w:p>
      <w:r>
        <w:t>Bundesgericht, 2019-11-21, DE</w:t>
      </w:r>
    </w:p>
    <w:p>
      <w:r>
        <w:rPr>
          <w:b/>
        </w:rPr>
        <w:t xml:space="preserve">Quelle: </w:t>
      </w:r>
      <w:r>
        <w:t>https://mcp.opencaselaw.ch/entscheid/bger_4D_61_2019</w:t>
      </w:r>
    </w:p>
    <w:p>
      <w:r>
        <w:t>FR: TF 4D_61/2019 du 21 novembre 2019</w:t>
      </w:r>
    </w:p>
    <w:p>
      <w:r>
        <w:t>IT: TF 4D_61/2019 del 21 novembre 2019</w:t>
      </w:r>
    </w:p>
    <w:p>
      <w:pPr>
        <w:pStyle w:val="Heading2"/>
      </w:pPr>
      <w:r>
        <w:t>Erwägungen</w:t>
      </w:r>
    </w:p>
    <w:p>
      <w:r>
        <w:rPr>
          <w:b/>
        </w:rPr>
        <w:t>E. 1</w:t>
      </w:r>
    </w:p>
    <w:p>
      <w:r>
        <w:t>Am 5. März 2019 reichte die B.________ S.A. (Beschwerdegegnerin) beim Bezirksgericht Zürich eine Klage ein, mit der sie verlangte, A.________ (Beschwerdeführer) sei zu verurteilen, ihr Fr. 11'363.05 nebst Zins zu bezahlen. Mit Urteil vom 6. August 2019 hiess das Bezirksgericht die Klage gut.</w:t>
      </w:r>
    </w:p>
    <w:p>
      <w:r>
        <w:t>A.________ focht dieses Urteil mit Berufung beim Obergericht des Kantons Zürich an. Dieses trat mit Beschluss vom 20. September 2019 auf die Berufung mangels hinreichender Begründung nicht ein.</w:t>
      </w:r>
    </w:p>
    <w:p>
      <w:r>
        <w:t>In der Folge hat A.________ das Bundesgericht zunächst "um Aufschiebung wegen Krankheit" gebeten, sodann (rechtzeitig) mit Eingabe vom 23. Oktober 2019 (Postaufgabe am 24. Oktober 2019) Beschwerde gegen den Beschluss des Obergerichts vom 20. September 2019 erhoben und schliesslich sinngemäss um Gewährung der unentgeltlichen Rechtspflege ersucht. Es wurden keine Vernehmlassungen eingeholt.</w:t>
      </w:r>
    </w:p>
    <w:p>
      <w:r>
        <w:rPr>
          <w:b/>
        </w:rPr>
        <w:t>E. 2.1</w:t>
      </w:r>
    </w:p>
    <w:p>
      <w:r>
        <w:t>Da der Streitwert nach der Feststellung der Vorinstanz den Mindestbetrag von Art. 74 Abs. 1 lit. a BGG nicht erreicht, steht die subsidiäre Verfassungsbeschwerde offen (siehe Art. 113 BGG ).</w:t>
      </w:r>
    </w:p>
    <w:p>
      <w:r>
        <w:t>Mit der Verfassungsbeschwerde kann die Verletzung von verfassungsmässigen Rechten gerügt werden ( Art. 116 BGG ).</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w:t>
      </w:r>
    </w:p>
    <w:p>
      <w:r>
        <w:rPr>
          <w:b/>
        </w:rPr>
        <w:t>E. 2.2</w:t>
      </w:r>
    </w:p>
    <w:p>
      <w:r>
        <w:t>Der Beschwerdeführer erhebt keine hinreichend begründete Verfassungsrüge, sondern verweist auf einen "Darlehensvertrag mit Koppelungsvereinbarung" und nennt einige vorinstanzliche Sachverhaltsfeststellungen, die "nicht der Wahrheit" entsprächen. Die Beschwerde genügt damit den erwähnten Anforderungen offensichtlich nicht, weshalb im vereinfachten Verfahren nach Art. 108 Abs. 1 lit. b BGG nicht auf sie einzutreten ist.</w:t>
      </w:r>
    </w:p>
    <w:p>
      <w:r>
        <w:rPr>
          <w:b/>
        </w:rPr>
        <w:t>E. 3</w:t>
      </w:r>
    </w:p>
    <w:p>
      <w:r>
        <w:t>Ausnahmsweise werden keine Gerichtskosten erhoben (Art. 66 Abs. 1 zweiter Satz BGG), womit das Gesuch des Beschwerdeführers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