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4D_60/2025 vom 14. April 2025</w:t>
      </w:r>
    </w:p>
    <w:p>
      <w:r>
        <w:t>Bundesgericht, 2025-04-14, DE</w:t>
      </w:r>
    </w:p>
    <w:p>
      <w:r>
        <w:rPr>
          <w:b/>
        </w:rPr>
        <w:t xml:space="preserve">Quelle: </w:t>
      </w:r>
      <w:r>
        <w:t>https://mcp.opencaselaw.ch/entscheid/bger_4D_60_2025</w:t>
      </w:r>
    </w:p>
    <w:p>
      <w:r>
        <w:t>FR: TF 4D_60/2025 du 14 avril 2025</w:t>
      </w:r>
    </w:p>
    <w:p>
      <w:r>
        <w:t>IT: TF 4D_60/2025 del 14 aprile 2025</w:t>
      </w:r>
    </w:p>
    <w:p>
      <w:pPr>
        <w:pStyle w:val="Heading2"/>
      </w:pPr>
      <w:r>
        <w:t>Erwägungen</w:t>
      </w:r>
    </w:p>
    <w:p>
      <w:r>
        <w:rPr>
          <w:b/>
        </w:rPr>
        <w:t>E. 1</w:t>
      </w:r>
    </w:p>
    <w:p>
      <w:r>
        <w:t>Mit Klage vom 10. November 2023 beantragte der Beschwerdegegner dem Bezirksgericht Frauenfeld, der Beschwerdeführer sei zur Zahlung von Fr. 12'170.02 zuzüglich Zins zu verpflichten. Mit Entscheid vom 18. April 2024 hiess das Bezirksgericht die Klage gut, nachdem der Beschwerdeführer unentschuldigt nicht zur Hauptverhandlung erschienen war. Mit Entscheid vom 6. Februar 2025 wies das Obergericht des Kantons Thurgau eine vom Beschwerdeführer gegen den bezirksgerichtlichen Entscheid vom 18. April 2024 erhobene Berufung ab, soweit es darauf eintrat. Mit Eingabe vom 19. März 2025 erklärte der Beschwerdeführer dem Bundesgericht, den Entscheid des Obergerichts des Kantons Thurgau vom 6. Februar 2025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des Beschwerdeführers vom 19. März 2023 erfüllt die genannten Begründungsanforderungen offensichtlich nicht. Er zeigt nicht unter Bezugnahme auf die Erwägungen des angefochtenen Entscheids des Obergerichts des Kantons Thurgau vom 6. Februar 2025 auf, inwiefern die Vorinstanz mit ihrem Entscheid verfassungsmässige Rechte verletzt hätte, sondern unterbreitet dem Bundesgericht in unzulässiger Weise seine eigene Sicht der Dinge. Er erwähnt zwar den Gehörsanspruch ( Art. 29 Abs. 2 BV ), zeigt jedoch offensichtlich nicht hinreichend auf, inwiefern die Vorinstanz diesen verletzt haben soll. Auf die Beschwerde ist somit mangels hinreichender Begründung nicht einzutreten ( Art. 108 Abs. 1 lit. b BGG ).</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