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4D_5/2018 vom 20. Februar 2018</w:t>
      </w:r>
    </w:p>
    <w:p>
      <w:r>
        <w:t>Bundesgericht, 2018-02-20, DE</w:t>
      </w:r>
    </w:p>
    <w:p>
      <w:r>
        <w:rPr>
          <w:b/>
        </w:rPr>
        <w:t xml:space="preserve">Quelle: </w:t>
      </w:r>
      <w:r>
        <w:t>https://mcp.opencaselaw.ch/entscheid/bger_4D_5_2018</w:t>
      </w:r>
    </w:p>
    <w:p>
      <w:r>
        <w:t>FR: TF 4D_5/2018 du 20 février 2018</w:t>
      </w:r>
    </w:p>
    <w:p>
      <w:r>
        <w:t>IT: TF 4D_5/2018 del 20 febbraio 2018</w:t>
      </w:r>
    </w:p>
    <w:p>
      <w:pPr>
        <w:pStyle w:val="Heading2"/>
      </w:pPr>
      <w:r>
        <w:t>Volltext</w:t>
      </w:r>
    </w:p>
    <w:p>
      <w:r>
        <w:t>Bundesgericht</w:t>
      </w:r>
    </w:p>
    <w:p>
      <w:r>
        <w:t>Tribunal fédéral</w:t>
      </w:r>
    </w:p>
    <w:p>
      <w:r>
        <w:t>Tribunale federale</w:t>
      </w:r>
    </w:p>
    <w:p>
      <w:r>
        <w:t>Tribunal federal</w:t>
      </w:r>
    </w:p>
    <w:p>
      <w:r>
        <w:t>4D_5/2018</w:t>
      </w:r>
    </w:p>
    <w:p>
      <w:r>
        <w:t>Urteil vom 20. Februar 2018</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Dr. Dean Kradolfer,</w:t>
      </w:r>
    </w:p>
    <w:p>
      <w:r>
        <w:t>Beschwerdegegner.</w:t>
      </w:r>
    </w:p>
    <w:p>
      <w:r>
        <w:t>Gegenstand</w:t>
      </w:r>
    </w:p>
    <w:p>
      <w:r>
        <w:t>Wiedereintragung einer Gesellschaft im Handelsregister,</w:t>
      </w:r>
    </w:p>
    <w:p>
      <w:r>
        <w:t>Beschwerde gegen den Entscheid des Obergerichts des Kantons Thurgau vom 13. Dezember 2017 (ZBS.2017.42).</w:t>
      </w:r>
    </w:p>
    <w:p>
      <w:r>
        <w:t>In Erwägung,</w:t>
      </w:r>
    </w:p>
    <w:p>
      <w:r>
        <w:t>dass der Beschwerdegegner dem Einzelrichter des Bezirksgerichts Kreuzlingen mit Eingabe vom 21. Juli 2017 im Zusammenhang mit von ihm geltend gemachten Forderungen im Gesamtbetrag von Fr. 29'900.-- die Wiedereintragung der Kollektivgesellschaft C.________ im Handelsregister beantragte;</w:t>
      </w:r>
    </w:p>
    <w:p>
      <w:r>
        <w:t>dass der Einzelrichter des Bezirksgerichts Kreuzlingen das Gesuch um Wiedereintragung mit Entscheid vom 4. August 2017 guthiess und das Handelsregisteramt des Kantons Thurgau anwies, die fragliche Kollektivgesellschaft wieder im Handelsregister einzutragen;</w:t>
      </w:r>
    </w:p>
    <w:p>
      <w:r>
        <w:t>dass das Obergericht des Kantons Thurgau mit Entscheid vom 13. Dezember 2017 eine vom Beschwerdeführer, Gesellschafter der C.________, gegen den Entscheid des Einzelrichters des Bezirksgerichts Kreuzlingen vom 4. August 2017 erhobene Berufung abwies, soweit es darauf eintrat;</w:t>
      </w:r>
    </w:p>
    <w:p>
      <w:r>
        <w:t>dass das Obergericht des Kantons Thurgaueine Eingabe des Beschwerdeführers vom 9. Januar 2018 mit Schreiben vom 17. Januar 2018 zuständigkeitshalber an das Bundesgericht übermittelte;</w:t>
      </w:r>
    </w:p>
    <w:p>
      <w:r>
        <w:t>dass der Beschwerdeführer im Schreiben vom 9. Januar 2018 sinngemäss erklärt, den Entscheid des Obergerichts des Kantons Thurgau vom 13. Dezember 2017 mit Beschwerde anfechten zu wollen;</w:t>
      </w:r>
    </w:p>
    <w:p>
      <w:r>
        <w:t>dass die Beschwerde in Zivilsachen gemäss Art. 72 ff. BGG angesichts des massgebenden Streitwerts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 des Beschwerdeführers unter diesen Umständen als subsidiäre Verfassungsbeschwerde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der Beschwerdeführer nicht aufzeigt, inwiefern die Vorinstanz mit ihrem Entscheid verfassungsmässige Rechte verletzt hätte, sondern dem Bundesgericht einen Sachverhalt unterbreitet, der über den vorinstanzlich verbindlich festgestellten hinausgeht, ohne rechtsgenügend zu begründen, inwiefern dies nach Art. 118 Abs. 2 BGG zulässig sein soll;</w:t>
      </w:r>
    </w:p>
    <w:p>
      <w:r>
        <w:t>dass die Eingabe des Beschwerdeführers vom 9. Januar 2018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Thurgau schriftlich mitgeteilt, dem Beschwerdeführer auf dem Rechtshilfeweg.</w:t>
      </w:r>
    </w:p>
    <w:p>
      <w:r>
        <w:t>Lausanne, 20. Februar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