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4D_57/2023 vom 24. November 2023</w:t>
      </w:r>
    </w:p>
    <w:p>
      <w:r>
        <w:t>Bundesgericht, 2023-11-24, DE</w:t>
      </w:r>
    </w:p>
    <w:p>
      <w:r>
        <w:rPr>
          <w:b/>
        </w:rPr>
        <w:t xml:space="preserve">Quelle: </w:t>
      </w:r>
      <w:r>
        <w:t>https://mcp.opencaselaw.ch/entscheid/bger_4D_57_2023</w:t>
      </w:r>
    </w:p>
    <w:p>
      <w:r>
        <w:t>FR: TF 4D_57/2023 du 24 novembre 2023</w:t>
      </w:r>
    </w:p>
    <w:p>
      <w:r>
        <w:t>IT: TF 4D_57/2023 del 24 novembre 2023</w:t>
      </w:r>
    </w:p>
    <w:p>
      <w:pPr>
        <w:pStyle w:val="Heading2"/>
      </w:pPr>
      <w:r>
        <w:t>Erwägungen</w:t>
      </w:r>
    </w:p>
    <w:p>
      <w:r>
        <w:rPr>
          <w:b/>
        </w:rPr>
        <w:t>E. 1</w:t>
      </w:r>
    </w:p>
    <w:p>
      <w:r>
        <w:t>Mit Beschluss vom 28. August 2023 schrieb die Schlichtungsbehörde in Mietsachen des Bezirksgerichts Dietikon ein von der Beschwerdeführerin eingeleitetes Verfahren als gegenstandslos ab, nachdem diese unentschuldigt nicht zur anberaumten Schlichtungsverhandlung erschienen war.</w:t>
      </w:r>
    </w:p>
    <w:p>
      <w:r>
        <w:t>Mit Beschluss vom 2. Oktober 2023 trat das Obergericht des Kantons Zürich auf eine von der Beschwerdeführerin gegen den Beschluss der Schlichtungsbehörde vom 28. August 2023 erhobene Beschwerde infolge unzureichender Begründung des Rechtsmittels nicht ein.</w:t>
      </w:r>
    </w:p>
    <w:p>
      <w:r>
        <w:t>Mit Eingabe vom 1. November 2023 erklärte die Beschwerdeführerin dem Bundesgericht, den Entscheid des Obergerichts des Kantons Zürich vom 2. Oktober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1. November 2023 erfüllt die genannten Begründungsanforderungen offensichtlich nicht. Sie zeigt nicht unter Bezugnahme auf die Erwägungen des angefochtenen Beschlusses des Obergerichts des Kantons Zürich vom 2. Oktober 2023 auf, inwiefern die Vorinstanz mit ihrem Nichteintretensentscheid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