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4D_57/2022 vom 25. November 2022</w:t>
      </w:r>
    </w:p>
    <w:p>
      <w:r>
        <w:t>Bundesgericht, 2022-11-25, DE</w:t>
      </w:r>
    </w:p>
    <w:p>
      <w:r>
        <w:rPr>
          <w:b/>
        </w:rPr>
        <w:t xml:space="preserve">Quelle: </w:t>
      </w:r>
      <w:r>
        <w:t>https://mcp.opencaselaw.ch/entscheid/bger_4D_57_2022</w:t>
      </w:r>
    </w:p>
    <w:p>
      <w:r>
        <w:t>FR: TF 4D_57/2022 du 25 novembre 2022</w:t>
      </w:r>
    </w:p>
    <w:p>
      <w:r>
        <w:t>IT: TF 4D_57/2022 del 25 novembre 2022</w:t>
      </w:r>
    </w:p>
    <w:p>
      <w:pPr>
        <w:pStyle w:val="Heading2"/>
      </w:pPr>
      <w:r>
        <w:t>Erwägungen</w:t>
      </w:r>
    </w:p>
    <w:p>
      <w:r>
        <w:rPr>
          <w:b/>
        </w:rPr>
        <w:t>E. 1</w:t>
      </w:r>
    </w:p>
    <w:p>
      <w:r>
        <w:t>Mit Urteil vom 5. November 2021 wies das Einzelgericht des Bezirksgerichts Zürich eine von der Beschwerdeführerin gegen die Beschwerdegegnerin erhobene Klage auf Zahlung von Fr. 2'378.10 zuzüglich Verzugszins von 5 % seit dem 7. September 2020 ab.</w:t>
      </w:r>
    </w:p>
    <w:p>
      <w:r>
        <w:t>Mit Urteil vom 16. September 2022 wies das Obergericht des Kantons Zürich eine von der Beschwerdeführerin gegen den bezirksgerichtlichen Entscheid vom 5. November 2021 erhobene Beschwerde ab.</w:t>
      </w:r>
    </w:p>
    <w:p>
      <w:r>
        <w:t>Mit Eingabe vom 30. Oktober 2022 erklärte die Beschwerdeführerin dem Bundesgericht, das Urteil des Obergerichts vom 16. September 2022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w:t>
      </w:r>
    </w:p>
    <w:p>
      <w:r>
        <w:t>Die Eingabe der Beschwerdeführerin vom 30. Oktober 2022 erfüllt die genannten Begründungsanforderungen offensichtlich nicht. Sie zeigt nicht unter Bezugnahme auf die Erwägungen des angefochtenen Entscheids des Obergerichts des Kantons Zürich vom 16. September 2022 auf, inwiefern die Vorinstanz mit ihrem Entscheid verfassungsmässige Rechte verletzt hätte, sondern unterbreitet dem Bundesgericht in unzulässiger Weise ihre eigene Sicht der Dinge. So bezeichnet sie unter anderem die vorinstanzliche Feststellung, nach der sie C.________ an der Hauptverhandlung letztlich nicht als Zeugen angerufen habe, ohne weitere Begründung als unzutreffend und behauptet, dessen schriftliche Stellungnahme sei unbeachtet geblieben, geht jedoch mit keinem Wort auf die Erwägung im angefochtenen Entscheid zum betreffenden Schreiben vom 6. Mai 2021 ein.</w:t>
      </w:r>
    </w:p>
    <w:p>
      <w:r>
        <w:t>Auf die Beschwerde ist somit mangels hinreichender Begründung nicht einzutreten ( Art. 108 Abs. 1 lit. b BGG ).</w:t>
      </w:r>
    </w:p>
    <w:p>
      <w:r>
        <w:rPr>
          <w:b/>
        </w:rPr>
        <w:t>E. 4</w:t>
      </w:r>
    </w:p>
    <w:p>
      <w:r>
        <w:t>Die Beschwerdeführerin wird bei diesem Verfahrensausgang kostenpflichtig ( Art. 66 Abs. 1 BGG ).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