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57/2021 vom 18. Oktober 2021</w:t>
      </w:r>
    </w:p>
    <w:p>
      <w:r>
        <w:t>Bundesgericht, 2021-10-18, DE</w:t>
      </w:r>
    </w:p>
    <w:p>
      <w:r>
        <w:rPr>
          <w:b/>
        </w:rPr>
        <w:t xml:space="preserve">Quelle: </w:t>
      </w:r>
      <w:r>
        <w:t>https://mcp.opencaselaw.ch/entscheid/bger_4D_57_2021</w:t>
      </w:r>
    </w:p>
    <w:p>
      <w:r>
        <w:t>FR: TF 4D 57/2021 du 18 octobre 2021</w:t>
      </w:r>
    </w:p>
    <w:p>
      <w:r>
        <w:t>IT: TF 4D 57/2021 del 18 ottobre 2021</w:t>
      </w:r>
    </w:p>
    <w:p>
      <w:pPr>
        <w:pStyle w:val="Heading2"/>
      </w:pPr>
      <w:r>
        <w:t>Regeste</w:t>
      </w:r>
    </w:p>
    <w:p>
      <w:r>
        <w:t>Werkvertrag, | Vertragsrecht</w:t>
      </w:r>
    </w:p>
    <w:p>
      <w:pPr>
        <w:pStyle w:val="Heading2"/>
      </w:pPr>
      <w:r>
        <w:t>Erwägungen</w:t>
      </w:r>
    </w:p>
    <w:p>
      <w:r>
        <w:rPr>
          <w:b/>
        </w:rPr>
        <w:t>E. 1</w:t>
      </w:r>
    </w:p>
    <w:p>
      <w:r>
        <w:t>Mit Eingabe vom 17. Oktober 2019 erhob der Beschwerdeführer beim Bezirksgericht Zürich Teilklage gegen die Beschwerdegegnerin mit dem Antrag, diese sei zur Zahlung von Fr. 5'000.-- nebst Zins und Fr. 103.30 Betreibungskosten zu verurteilen; zudem sei in der Betreibung Nr. xxx des Betreibungsamts Zürich 3 der Rechtsvorschlag aufzuheben. Mit Entscheid vom 3. Dezember 2020 trat das Bezirksgericht auf die Teilklage nicht ein, soweit der Beschwerdeführer damit Ansprüche aus Immaterialgüterrecht geltend machte, und wies die Teilklage im Übrigen ab. Der Beschwerdeführer focht den bezirksgerichtlichen Entscheid vom 3. Dezember 2020 beim Obergericht des Kantons Zürich mit Beschwerde an. Mit Beschluss vom 15. Juli 2021 trat das Obergericht auf den Eventualantrag des Beschwerdeführers, wonach die Beschwerdegegnerin zur Zahlung von EUR 5'000.-- nebst Zins zu verurteilen sei, nicht ein. Mit Urteil vom gleichen Tag wies es die Beschwerde ab. Mit Eingabe vom 13. August 2021 erklärte der Beschwerdeführer dem Bundesgericht, den Entscheid des Obergerichts des Kantons Zürich vom 15. Juli 2021 mit Beschwerde anfechten zu wollen. Mit Schreiben vom 20. September 2021 bezeichnete der Beschwerdeführer ein Zustelldomizil in der Schweiz.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Eingabe des Beschwerdeführers vom 13. August 2021 erfüllt die genannten Begründungsanforderungen offensichtlich nicht. Er zeigt nicht unter Bezugnahme auf die Erwägungen des angefochtenen Entscheids des Obergerichts des Kantons Zürich vom 15. Juli 2021 auf, inwiefern die Vorinstanz mit ihrem Entscheid verfassungsmässige Rechte verletzt hätte. Vielmehr unterbreitet er dem Bundesgericht in frei gehaltenen Ausführungen seine Sicht der Dinge und weicht dabei in unzulässiger Weise vom vorinstanzlich verbindlich festgestellten Sachverhalt ab. Auf die Beschwerde ist somit mangels hinreichender Begründung nicht einzutreten ( Art. 108 Abs. 1 lit. b BGG ).</w:t>
      </w:r>
    </w:p>
    <w:p>
      <w:r>
        <w:rPr>
          <w:b/>
        </w:rPr>
        <w:t>E. 4</w:t>
      </w:r>
    </w:p>
    <w:p>
      <w:r>
        <w:t>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