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56/2023 vom 9. November 2023</w:t>
      </w:r>
    </w:p>
    <w:p>
      <w:r>
        <w:t>Bundesgericht, 2023-11-09, DE</w:t>
      </w:r>
    </w:p>
    <w:p>
      <w:r>
        <w:rPr>
          <w:b/>
        </w:rPr>
        <w:t xml:space="preserve">Quelle: </w:t>
      </w:r>
      <w:r>
        <w:t>https://mcp.opencaselaw.ch/entscheid/bger_4D_56_2023</w:t>
      </w:r>
    </w:p>
    <w:p>
      <w:r>
        <w:t>FR: TF 4D 56/2023 du 9 novembre 2023</w:t>
      </w:r>
    </w:p>
    <w:p>
      <w:r>
        <w:t>IT: TF 4D 56/2023 del 9 novembre 2023</w:t>
      </w:r>
    </w:p>
    <w:p>
      <w:pPr>
        <w:pStyle w:val="Heading2"/>
      </w:pPr>
      <w:r>
        <w:t>Regeste</w:t>
      </w:r>
    </w:p>
    <w:p>
      <w:r>
        <w:t>ungerechtfertigte Bereicherung; Einhaltung der Klagefrist, | Obligationenrecht (allgemein)</w:t>
      </w:r>
    </w:p>
    <w:p>
      <w:pPr>
        <w:pStyle w:val="Heading2"/>
      </w:pPr>
      <w:r>
        <w:t>Erwägungen</w:t>
      </w:r>
    </w:p>
    <w:p>
      <w:r>
        <w:rPr>
          <w:b/>
        </w:rPr>
        <w:t>E. 1</w:t>
      </w:r>
    </w:p>
    <w:p>
      <w:r>
        <w:t>Mit Klageschrift vom 13. März 2023 beantragte die Beschwerdegegnerin dem Bezirksgericht Höfe, der Beschwerdeführer sei zur Zahlung von GBP 6'700.-- zuzüglich Zins zu 5 % seit dem 25. Juni 2021 zu verpflichten und es sei in der eingeleiteten Betreibung des Betreibungsamtes X.________ der Rechtsvorschlag zu beseitigen. Mit Verfügung vom 10. Juli 2023 wies der Einzelrichter am Bezirksgericht Höfe den Antrag des Beschwerdeführers ab, es sei auf die Klage nicht einzutreten. Mit Beschluss vom 20. September 2023 wies das Kantonsgericht Schwyz eine vom Beschwerdeführer gegen die Verfügung des Einzelrichters vom 10. Juli 2023 erhobene Beschwerde ab, soweit es darauf eintrat. Mit Eingabe vom 31. Oktober 2023 erklärte der Beschwerdeführer dem Bundesgericht, den Beschluss des Kantonsgerichts Schwyz vom 20. September 2023 mit Beschwerde anfechten zu wollen. 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 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Beim angefochtenen Beschluss handelt es sich um einen Vor- und Zwischenentscheid im Sinne von Art. 93 BGG . Dagegen ist die Beschwerde gemäss Art. 117 in Verbindung mit Art. 93 Abs. 1 BGG nur zulässig, wenn der Entscheid einen nicht wieder gutzumachenden Nachteil bewirken kann (lit. a) oder wenn die Gutheissung der Beschwerde sofort einen Endentscheid herbeiführen und damit einen bedeutenden Aufwand an Zeit oder Kosten für ein weitläufiges Beweisverfahren ersparen würde (lit. b). Es obliegt der beschwerdeführenden Partei, im Einzelnen darzutun, dass die Voraussetzungen für eine ausnahmsweise Anfechtbarkeit eines Vor- und Zwischenentscheids erfüllt sind, soweit deren Vorliegen nicht offensichtlich in die Augen springt ( BGE 147 III 159 E. 4.1; 142 III 798 E. 2.2; je mit Hinweisen). Der Beschwerdeführer legt nicht dar, inwiefern die Voraussetzungen von Art. 93 Abs. 1 BGG erfüllt wären. Dies springt auch nicht offensichtlich in die Augen.</w:t>
      </w:r>
    </w:p>
    <w:p>
      <w:r>
        <w:rPr>
          <w:b/>
        </w:rPr>
        <w:t>E. 2.3</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 Die Eingabe des Beschwerdeführers vom 31. Oktober 2023 erfüllt die genannten Begründungsanforderungen offensichtlich nicht. Er kritisiert in verschiedener Weise den angefochtenen Beschluss des Kantonsgerichts Schwyz vom 20. September 2023, zeigt jedoch nicht unter Bezugnahme auf dessen Erwägungen auf, inwiefern die Vorinstanz mit ihrem Entscheid verfassungsmässige Rechte verletzt hätte.</w:t>
      </w:r>
    </w:p>
    <w:p>
      <w:r>
        <w:rPr>
          <w:b/>
        </w:rPr>
        <w:t>E. 2.4</w:t>
      </w:r>
    </w:p>
    <w:p>
      <w:r>
        <w:t>Auf die Beschwerde ist somit im vereinfachten Verfahren gemäss Art. 108 Abs. 1 lit. a und lit. b BGG in Verbindung mit Art. 117 BGG nicht einzutreten.</w:t>
      </w:r>
    </w:p>
    <w:p>
      <w:r>
        <w:rPr>
          <w:b/>
        </w:rPr>
        <w:t>E. 3</w:t>
      </w:r>
    </w:p>
    <w:p>
      <w:r>
        <w:t>Das sinngemäss gestellte Begehren um Gewährung der unentgeltlichen Rechtspflege für das bundesgerichtliche Verfahren ist abzuweisen, weil die Beschwerde von vornherein aussichtslos war ( Art. 64 Abs. 1 BGG ). Der Beschwerdeführer wird bei diesem Verfahrensausgang kostenpflichtig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