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4D_55/2019 vom 24. September 2019</w:t>
      </w:r>
    </w:p>
    <w:p>
      <w:r>
        <w:t>Bundesgericht, 2019-09-24, DE</w:t>
      </w:r>
    </w:p>
    <w:p>
      <w:r>
        <w:rPr>
          <w:b/>
        </w:rPr>
        <w:t xml:space="preserve">Quelle: </w:t>
      </w:r>
      <w:r>
        <w:t>https://mcp.opencaselaw.ch/entscheid/bger_4D_55_2019</w:t>
      </w:r>
    </w:p>
    <w:p>
      <w:r>
        <w:t>FR: TF 4D_55/2019 du 24 septembre 2019</w:t>
      </w:r>
    </w:p>
    <w:p>
      <w:r>
        <w:t>IT: TF 4D_55/2019 del 24 settembre 2019</w:t>
      </w:r>
    </w:p>
    <w:p>
      <w:pPr>
        <w:pStyle w:val="Heading2"/>
      </w:pPr>
      <w:r>
        <w:t>Erwägungen</w:t>
      </w:r>
    </w:p>
    <w:p>
      <w:r>
        <w:rPr>
          <w:b/>
        </w:rPr>
        <w:t>E. 1</w:t>
      </w:r>
    </w:p>
    <w:p>
      <w:r>
        <w:t>Mit Urteil vom 3. Juli 2019 hiess das Einzelgericht des Bezirksgerichts Winterthur ein Ausweisungsbegehren der B.________ AG (Beschwerdegegnerin) gegen A.________ (Beschwerdeführer) im Verfahren nach Art. 257 ZPO gut. Auf die dagegen von A.________ erhobene Beschwerde trat das Obergericht des Kantons Zürich mit Beschluss vom 12. August 2019 nicht ein.</w:t>
      </w:r>
    </w:p>
    <w:p>
      <w:r>
        <w:t>A.________ hat mit Eingabe an das Bundesgericht vom 18. September 2019 erklärt, diesen Beschluss mit Beschwerde anzufechten.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t>Das Bundesgericht legt seinem Urteil den Sachverhalt zugrunde, den die Vorinstanz festgestellt hat ( Art. 105 Abs. 1 und Art. 118 Abs. 1 BGG ). Es kann die Sachverhaltsfeststellung der Vorinstanz nur berichtigen oder ergänzen, wenn sie offensichtlich unrichtig ist oder auf einer Rechtsverletzung im Sinne von Art. 95 bzw. von Art. 116 BGG beruht ( Art. 105 Abs. 2 und Art. 118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w:t>
      </w:r>
    </w:p>
    <w:p>
      <w:r>
        <w:rPr>
          <w:b/>
        </w:rPr>
        <w:t>E. 3</w:t>
      </w:r>
    </w:p>
    <w:p>
      <w:r>
        <w:t>Das Obergericht begründete seinen Nichteintretensentscheid damit, sämtliche Vorbringen des Beschwerdeführers seien neu und damit verspätet. Darauf nimmt der Beschwerdeführer in seiner Eingabe vom 18. September 2019 keinen Bezug. Die Begründung genügt damit den erwähnten Anforderungen offensichtlich nicht, weshalb auf die Beschwerde im vereinfachten Verfahren nach Art. 108 Abs. 1 lit. b BGG nicht einzutreten ist.</w:t>
      </w:r>
    </w:p>
    <w:p>
      <w:r>
        <w:rPr>
          <w:b/>
        </w:rPr>
        <w:t>E. 4</w:t>
      </w:r>
    </w:p>
    <w:p>
      <w:r>
        <w:t>Ausnahmsweise werden keine Gerichtskosten erhoben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