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4D_54/2025 vom 3. April 2025</w:t>
      </w:r>
    </w:p>
    <w:p>
      <w:r>
        <w:t>Bundesgericht, 2025-04-03, DE</w:t>
      </w:r>
    </w:p>
    <w:p>
      <w:r>
        <w:rPr>
          <w:b/>
        </w:rPr>
        <w:t xml:space="preserve">Quelle: </w:t>
      </w:r>
      <w:r>
        <w:t>https://mcp.opencaselaw.ch/entscheid/bger_4D_54_2025</w:t>
      </w:r>
    </w:p>
    <w:p>
      <w:r>
        <w:t>FR: TF 4D_54/2025 du 3 avril 2025</w:t>
      </w:r>
    </w:p>
    <w:p>
      <w:r>
        <w:t>IT: TF 4D_54/2025 del 3 aprile 2025</w:t>
      </w:r>
    </w:p>
    <w:p>
      <w:pPr>
        <w:pStyle w:val="Heading2"/>
      </w:pPr>
      <w:r>
        <w:t>Erwägungen</w:t>
      </w:r>
    </w:p>
    <w:p>
      <w:r>
        <w:rPr>
          <w:b/>
        </w:rPr>
        <w:t>E. 1</w:t>
      </w:r>
    </w:p>
    <w:p>
      <w:r>
        <w:t>Das Bezirksgericht Andelfingen erteilte mit Urteil vom 6. Dezember 2024 dem Beschwerdegegner in der Betreibung Nr. xxx des Betreibungsamtes Andelfingen (Zahlungsbefehl vom 23. August 2024) definitive Rechtsöffnung für den Forderungsbetrag von Fr. 680.-- zzgl. 5 % Zins und für Mahngebühren von Fr. 20.--. Dagegen erhob der Beschwerdeführer Beschwerde an das Obergericht des Kantons Zürich. Das Obergericht trat mit Beschluss vom 11. Februar 2025 auf die Beschwerde nicht ein.</w:t>
      </w:r>
    </w:p>
    <w:p>
      <w:r>
        <w:t>Dagegen erhebt der Beschwerdeführer mit Eingabe vom 12. März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700.--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sinngemässe Gesuch um Erteilung der aufschiebenden Wirkung wird mit dem Entscheid in der Sache selbst gegenstandslos.</w:t>
      </w:r>
    </w:p>
    <w:p>
      <w:r>
        <w:rPr>
          <w:b/>
        </w:rPr>
        <w:t>E. 6</w:t>
      </w:r>
    </w:p>
    <w:p>
      <w:r>
        <w:t>Bei diesem Ausgang des Verfahrens sind die Gerichtskosten dem Beschwerdeführer aufzuerlegen ( Art. 66 Abs. 1 BGG ). Als unterliegende Partei hat er keinen Anspruch auf Parteientschädigung.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