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4D_54/2024 vom 14. Mai 2024</w:t>
      </w:r>
    </w:p>
    <w:p>
      <w:r>
        <w:t>Bundesgericht, 2024-05-14, DE</w:t>
      </w:r>
    </w:p>
    <w:p>
      <w:r>
        <w:rPr>
          <w:b/>
        </w:rPr>
        <w:t xml:space="preserve">Quelle: </w:t>
      </w:r>
      <w:r>
        <w:t>https://mcp.opencaselaw.ch/entscheid/bger_4D_54_2024</w:t>
      </w:r>
    </w:p>
    <w:p>
      <w:r>
        <w:t>FR: TF 4D_54/2024 du 14 mai 2024</w:t>
      </w:r>
    </w:p>
    <w:p>
      <w:r>
        <w:t>IT: TF 4D_54/2024 del 14 maggio 2024</w:t>
      </w:r>
    </w:p>
    <w:p>
      <w:pPr>
        <w:pStyle w:val="Heading2"/>
      </w:pPr>
      <w:r>
        <w:t>Erwägungen</w:t>
      </w:r>
    </w:p>
    <w:p>
      <w:r>
        <w:rPr>
          <w:b/>
        </w:rPr>
        <w:t>E. 1</w:t>
      </w:r>
    </w:p>
    <w:p>
      <w:r>
        <w:t>Mit Urteil vom 31. Januar 2024 erteilte das Bezirksgericht Dielsdorf der Beschwerdegegnerin in der Betreibung Nr. xxx des Betreibungsamts (...) (Zahlungsbefehl vom 24. Juli 2023) definitive Rechtsöffnung für Fr. 12'000.-- (Bar- und Betreuungsunterhalt) nebst Zins.</w:t>
      </w:r>
    </w:p>
    <w:p>
      <w:r>
        <w:t>Die dagegen erhobene Beschwerde des Beschwerdeführers wies das Obergericht des Kantons Zürich mit Urteil vom 15. März 2024 als offensichtlich unbegründet ab.</w:t>
      </w:r>
    </w:p>
    <w:p>
      <w:r>
        <w:t>Gegen das Urteil des Obergerichts erhebt der Beschwerdeführer mit Eingabe vom 18. April 2024 Beschwerde an das Bundesgericht. Auf das Einholen von Vernehmlassungen zur Beschwerde wurde verzichtet.</w:t>
      </w:r>
    </w:p>
    <w:p>
      <w:r>
        <w:rPr>
          <w:b/>
        </w:rPr>
        <w:t>E. 2</w:t>
      </w:r>
    </w:p>
    <w:p>
      <w:r>
        <w:t>Das Bundesgericht prüft von Amtes wegen und mit freier Kognition, ob ein Rechtsmittel zulässig ist ( Art. 29 Abs. 1 BGG ; BGE 141 III 395 E. 2.1 mit Hinweisen).</w:t>
      </w:r>
    </w:p>
    <w:p>
      <w:r>
        <w:rPr>
          <w:b/>
        </w:rPr>
        <w:t>E. 2.1</w:t>
      </w:r>
    </w:p>
    <w:p>
      <w:r>
        <w:t>In vermögensrechtlichen Angelegenheiten, wie hier eine vorliegt, ist die Beschwerde in Zivilsachen grundsätzlich nur zulässig, wenn der Streitwert mindestens Fr. 30'000.-- beträgt ( Art. 74 Abs. 1 lit. b BGG ). Der Streitwert beträgt nach der unbestrittenen Feststellung der Vorinstanz Fr. 12'000.-- und erreicht damit die Streitwertgrenze nicht.</w:t>
      </w:r>
    </w:p>
    <w:p>
      <w:r>
        <w:rPr>
          <w:b/>
        </w:rPr>
        <w:t>E. 2.2</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t>Der Beschwerdeführer behauptet nicht, dass sich eine Rechtsfrage von grundsätzlicher Bedeutung stellt.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 des Beschwerdeführers erfüllt diese Begründungsanforderungen offensichtlich nicht. Er verlangt im Wesentlichen bloss erneut, dass die Alimente neu zu berechnen seien. Er geht indessen nicht auf die Erwägungen der Vorinstanz hinreichend konkret ein, die ihm bereits zutreffend darlegte, dass die Kognition des Rechtsöffnungsgerichts beschränkt ist, geschweige denn zeigt er nachvollziehbar auf, welche verfassungsmässigen Rechte die Vorinstanz mit ihrem Entscheid inwiefern verletzt haben soll.</w:t>
      </w:r>
    </w:p>
    <w:p>
      <w:r>
        <w:t>Auf die Beschwerde ist somit mangels hinreichender Begründung nicht einzutreten ( Art. 108 Abs. 1 lit. b BGG in Verbindung mit Art. 117 BGG ).</w:t>
      </w:r>
    </w:p>
    <w:p>
      <w:r>
        <w:rPr>
          <w:b/>
        </w:rPr>
        <w:t>E. 5</w:t>
      </w:r>
    </w:p>
    <w:p>
      <w:r>
        <w:t>Bei diesem Ausgang des Verfahrens sind die Gerichtskosten dem Beschwerdeführer aufzuerlegen ( Art. 66 Abs. 1 BGG ). Die Beschwerdegegnerin hat keinen Anspruch auf eine Parteientschädigung, da ihr aus dem bundesgerichtlichen Verfahren kein entschädigungspflichtiger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