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4D_54/2017 vom 22. November 2017</w:t>
      </w:r>
    </w:p>
    <w:p>
      <w:r>
        <w:t>Bundesgericht, 2017-11-22, IT</w:t>
      </w:r>
    </w:p>
    <w:p>
      <w:r>
        <w:rPr>
          <w:b/>
        </w:rPr>
        <w:t xml:space="preserve">Quelle: </w:t>
      </w:r>
      <w:r>
        <w:t>https://mcp.opencaselaw.ch/entscheid/bger_4D_54_2017</w:t>
      </w:r>
    </w:p>
    <w:p>
      <w:r>
        <w:t>FR: TF 4D_54/2017 du 22 novembre 2017</w:t>
      </w:r>
    </w:p>
    <w:p>
      <w:r>
        <w:t>IT: TF 4D_54/2017 del 22 novembre 2017</w:t>
      </w:r>
    </w:p>
    <w:p>
      <w:pPr>
        <w:pStyle w:val="Heading2"/>
      </w:pPr>
      <w:r>
        <w:t>Erwägungen</w:t>
      </w:r>
    </w:p>
    <w:p>
      <w:r>
        <w:rPr>
          <w:b/>
        </w:rPr>
        <w:t>E. 1</w:t>
      </w:r>
    </w:p>
    <w:p>
      <w:r>
        <w:t>La sentenza impugnata è stata emanata su ricorso dal tribunale di ultima istanza del Cantone Ticino in una causa civile. Poiché nella fattispecie il valore di lite non raggiunge la soglia di fr. 30'000.-- prevista dall' art. 74 cpv. 1 lett. b LTF per l'inoltro di un ricorso in materia civile, il ricorrente ha a giusta ragione scelto la via del ricorso sussidiario in materia costituzionale.</w:t>
      </w:r>
    </w:p>
    <w:p>
      <w:r>
        <w:rPr>
          <w:b/>
        </w:rPr>
        <w:t>E. 2</w:t>
      </w:r>
    </w:p>
    <w:p>
      <w:r>
        <w:t>Con un ricorso sussidiario in materia costituzionale può unicamente essere fatta valere una violazione di diritti costituzionali ( art. 116 LTF ). Il Tribunale federale esamina la violazione di diritti costituzionali soltanto se il ricorrente ha sollevato e partitamente motivato tale censura ( art. 106 cpv. 2 LTF richiamato dall' art. 117 LTF ). Ciò significa che egli deve spiegare in modo chiaro e dettagliato, alla luce dei considerandi della sentenza impugnata, in che misura sarebbero stati violati diritti costituzionali ( DTF 134 II 244 consid. 2.2). Giusta l' art. 118 LTF il Tribunale federale fonda inoltre la sua sentenza sui fatti accertati dall'autorità inferiore (cpv. 1) e può rettificare o completare d'ufficio l'accertamento dei fatti operato dall'autorità inferiore se è stato svolto in violazione del diritto ai sensi dell' art. 116 LTF (cpv. 2).</w:t>
      </w:r>
    </w:p>
    <w:p>
      <w:r>
        <w:rPr>
          <w:b/>
        </w:rPr>
        <w:t>E. 3.1</w:t>
      </w:r>
    </w:p>
    <w:p>
      <w:r>
        <w:t>La Corte cantonale ha dapprima considerato ingiustificato il rimprovero mosso dal Pretore al patrocinatore dell'attore di non aver allegato sufficientemente la necessità del patrocinio nella sede penale. Essa ha poi indicato come la procedura penale sia stata caratterizzata da denunce e contro denunce, con la necessità di diversi interrogatori, sia dei diretti interessati sia di testimoni, davanti alla polizia e al ministero pubblico. Entrambe le parti hanno poi interposto opposizione al decreto di accusa del 4 giugno 2009, il convenuto chiedendo il proprio proscioglimento e l'attore postulando la condanna anche per lesioni semplici, ragione per cui la Pretura penale ha aggiornato il dibattimento. Quest'ultimo procedimento è poi stato stralciato dai ruoli, perché le parti hanno ritirato le rispettive opposizioni. L'autorità inferiore ha reputato che l'attore, grafico cinquantaseienne, non avesse particolari nozioni giuridiche che gli permettevano di districarsi fra le varie procedure. Ha quindi ritenuto giustificato rimborsare all'attore le spese legali della fase preprocessuale in base alle parcelle dei due avvocati che lo hanno assistito in fasi diverse del procedimento penale.</w:t>
      </w:r>
    </w:p>
    <w:p>
      <w:r>
        <w:rPr>
          <w:b/>
        </w:rPr>
        <w:t>E. 3.2</w:t>
      </w:r>
    </w:p>
    <w:p>
      <w:r>
        <w:t>Il ricorrente afferma che è stato unicamente accertato l'episodio del 28 giugno 2006 e che il Tribunale di appello ha arbitrariamente fatto propria la versione dell'opponente secondo cui l'iter penale sarebbe stato lungo e complesso. Sostiene che la complessità dell'incarto non sarebbe dettata dall'unico atto illecito, ma dalle altre denunce inoltrate dall'opponente e dai suoi numerosi scritti. Risulterebbe inoltre " sorprendentemente ingiustificato ritenere " l'opponente " incapace di districarsi fra le procedure ". La sentenza impugnata sarebbe pure arbitraria in ragione della sproporzione fra le pretese risarcitorie fatte valere - e non ottenute - e l'onorario reclamato dagli avvocati. Mette pure in dubbio " la reale connessione fra l'operato degli avvocati e l'unico atto illecito riconosciuto " e asserisce che il fatto che due avvocati si siano occupati del patrocinio dell'opponente ha fatto lievitare i costi.</w:t>
      </w:r>
    </w:p>
    <w:p>
      <w:r>
        <w:rPr>
          <w:b/>
        </w:rPr>
        <w:t>E. 3.3</w:t>
      </w:r>
    </w:p>
    <w:p>
      <w:r>
        <w:t>La predetta argomentazione, con cui viene pure liberamente completata la fattispecie accertata dall'autorità inferiore, non soddisfa le esigenze di motivazione di una censura fondata sulla violazione dell' art. 9 Cost. Il ricorrente che lamenta una violazione del divieto dell'arbitrio non può infatti limitarsi, come invece fatto in concreto, a criticare la decisione cantonale come se ci si trovasse in istanza di appello, dove l'autorità di ricorso gode di cognizione libera, opponendo semplicemente la propria opinione a quella dell'autorità inferiore ( DTF 135 III 513 consid. 4.3 pag. 522; 134 II 349 consid. 3), atteso che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e che esso non si realizza già qualora la soluzione proposta con il ricorso possa apparire sostenibile o addirittura migliore rispetto a quella contestata ( DTF 141 III 564 consid. 4.1 con rinvii).</w:t>
      </w:r>
    </w:p>
    <w:p>
      <w:r>
        <w:rPr>
          <w:b/>
        </w:rPr>
        <w:t>E. 4</w:t>
      </w:r>
    </w:p>
    <w:p>
      <w:r>
        <w:t>Il ricorrente sostiene infine che l'autorità cantonale sia caduta nell'arbitrio, perché non ha fatto decorrere gli interessi unicamente dalla data di emissione delle parcelle. La censura si rivela infondata. Infatti, secondo costante giurisprudenza, gli interessi di una pretesa di risarcimento danni per atto illecito cominciano a decorrere dalla data in cui questo è stato commesso, non trattandosi - contrariamente a quanto affermato nell'impugnativa - d'interessi di mora, ma d'interessi del danno ( DTF 122 III 53 consid. 4a; 81 II 512 consid. 6).</w:t>
      </w:r>
    </w:p>
    <w:p>
      <w:r>
        <w:rPr>
          <w:b/>
        </w:rPr>
        <w:t>E. 5</w:t>
      </w:r>
    </w:p>
    <w:p>
      <w:r>
        <w:t>Da quanto precede discende che il ricorso si palesa, nella ridotta misura in cui risulta ammissibile, infondato e come tale va respinto. Le spese giudiziarie seguono la soccombenza ( art. 66 cpv. 1 LTF ), mentre non si giustifica assegnare ripetibili all'opponente che, non essendo stato invitato a determinarsi,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