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4D_53/2024 vom 14. Mai 2024</w:t>
      </w:r>
    </w:p>
    <w:p>
      <w:r>
        <w:t>Bundesgericht, 2024-05-14, FR</w:t>
      </w:r>
    </w:p>
    <w:p>
      <w:r>
        <w:rPr>
          <w:b/>
        </w:rPr>
        <w:t xml:space="preserve">Quelle: </w:t>
      </w:r>
      <w:r>
        <w:t>https://mcp.opencaselaw.ch/entscheid/bger_4D_53_2024</w:t>
      </w:r>
    </w:p>
    <w:p>
      <w:r>
        <w:t>FR: TF 4D_53/2024 du 14 mai 2024</w:t>
      </w:r>
    </w:p>
    <w:p>
      <w:r>
        <w:t>IT: TF 4D_53/2024 del 14 maggio 2024</w:t>
      </w:r>
    </w:p>
    <w:p>
      <w:pPr>
        <w:pStyle w:val="Heading2"/>
      </w:pPr>
      <w:r>
        <w:t>Erwägungen</w:t>
      </w:r>
    </w:p>
    <w:p>
      <w:r>
        <w:rPr>
          <w:b/>
        </w:rPr>
        <w:t>E. 1</w:t>
      </w:r>
    </w:p>
    <w:p>
      <w:r>
        <w:t>Par jugement du 29 décembre 2023, le Tribunal de première instance du canton de Genève a rejeté la requête de mainlevée définitive formée par A.________ (ci-après: la poursuivante ou la recourante) à l'encontre de B.________ et C.________ Sàrl (ci-après: les intimés).</w:t>
      </w:r>
    </w:p>
    <w:p>
      <w:r>
        <w:t>Par arrêt du 21 mars 2024, la Chambre civile de la Cour de justice du canton de Genève a déclaré irrecevable le recours formé par la poursuivante à l'encontre dudit jugement, aux motifs que la requête d'assistance judiciaire de la poursuivante avait été définitivement rejetée et que celle-ci n'avait pas fourni l'avance de frais requise dans le délai imparti.</w:t>
      </w:r>
    </w:p>
    <w:p>
      <w:r>
        <w:rPr>
          <w:b/>
        </w:rPr>
        <w:t>E. 2</w:t>
      </w:r>
    </w:p>
    <w:p>
      <w:r>
        <w:t>Le 17 avril 2024, la poursuivante a formé un " recours en matière de mainlevée et constitutionnel " à l'encontre de cet arrêt auprès du Tribunal fédéral. Elle conclut, en substance, à ce que l'arrêt entrepris soit annulé et la cause renvoyée à la cour cantonale pour nouvelle décision dans le sens des considérants et à ce que l'assistance judiciaire lui soit octroyée.</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la valeur litigieuse ne ressort pas d'emblée des constatations de la décision attaquée ou d'autres éléments ressortant du dossier et où la recourante n'a pas indiqué les éléments suffisants pour permettre au Tribunal de céans d'estimer aisément la valeur litigieuse,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En substance, la recourante demande que " [s]es causes so[ie]nt jugées ", se plaint d' " erreur sur les faits " et cite les art. 17, 29, 29a, 35, 40 et 41 Cst.</w:t>
      </w:r>
    </w:p>
    <w:p>
      <w:r>
        <w:rPr>
          <w:b/>
        </w:rPr>
        <w:t>E. 4.3</w:t>
      </w:r>
    </w:p>
    <w:p>
      <w:r>
        <w:t>La recourante ne prétend ni n'établit qu'elle aurait versé l'avance de frais dans le délai que lui avait imparti la cour cantonale ou qu'elle en aurait été dispensée en étant mise au bénéfice de l'assistance judiciaire. Dans la mesure où elle ne s'en prend pas à la motivation de la cour cantonale, son recours est irrecevable (cf.</w:t>
      </w:r>
    </w:p>
    <w:p>
      <w:r>
        <w:t>supra consid. 4.1), ce qu'il y a lieu de constater par voie de procédure simplifiée ( art. 108 al. 1 let. b et art. 117 LTF ). La recourante se contentant de citer des dispositions de la Constitution fédérale et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de la recourante.</w:t>
      </w:r>
    </w:p>
    <w:p>
      <w:r>
        <w:t>Les frais judiciaires seront mis à la charge de la recourante, qui succombe ( art. 66 al. 1 LTF ). Dans la mesure où les intimés n'ont pas été invités à se déterminer, il ne leur sera pas alloué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