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51/2024 vom 13. Mai 2024</w:t>
      </w:r>
    </w:p>
    <w:p>
      <w:r>
        <w:t>Bundesgericht, 2024-05-13, FR</w:t>
      </w:r>
    </w:p>
    <w:p>
      <w:r>
        <w:rPr>
          <w:b/>
        </w:rPr>
        <w:t xml:space="preserve">Quelle: </w:t>
      </w:r>
      <w:r>
        <w:t>https://mcp.opencaselaw.ch/entscheid/bger_4D_51_2024</w:t>
      </w:r>
    </w:p>
    <w:p>
      <w:r>
        <w:t>FR: TF 4D 51/2024 du 13 mai 2024</w:t>
      </w:r>
    </w:p>
    <w:p>
      <w:r>
        <w:t>IT: TF 4D 51/2024 del 13 maggio 2024</w:t>
      </w:r>
    </w:p>
    <w:p>
      <w:pPr>
        <w:pStyle w:val="Heading2"/>
      </w:pPr>
      <w:r>
        <w:t>Regeste</w:t>
      </w:r>
    </w:p>
    <w:p>
      <w:r>
        <w:t>mainlevée définitive, | Droit des poursuites et faillites</w:t>
      </w:r>
    </w:p>
    <w:p>
      <w:pPr>
        <w:pStyle w:val="Heading2"/>
      </w:pPr>
      <w:r>
        <w:t>Erwägungen</w:t>
      </w:r>
    </w:p>
    <w:p>
      <w:r>
        <w:rPr>
          <w:b/>
        </w:rPr>
        <w:t>E. 1</w:t>
      </w:r>
    </w:p>
    <w:p>
      <w:r>
        <w:t>Par décision du 27 novembre 2023, la Juge de paix du district d'Aigle a prononcé, à concurrence des montants en poursuite, la mainlevée définitive de l'opposition qu'avait formée A.________ (ci-après: le poursuivi ou le recourant) au commandement de payer 1'350 fr. et 7'650 fr. que lui avait fait notifier l'État de Vaud, représenté par le Bureau de recouvrement et d'avances sur pensions alimentaires (ci-après: le poursuivant ou l'intimé), dans la poursuite n o ... de l'Office des poursuites du district d'Aigle. Par arrêt du 1 er mars 2024, la Cour des poursuites et faillites du Tribunal cantonal du canton de Vaud a déclaré irrecevable le recours formé par le poursuivi à l'encontre de ladite décision.</w:t>
      </w:r>
    </w:p>
    <w:p>
      <w:r>
        <w:rPr>
          <w:b/>
        </w:rPr>
        <w:t>E. 2</w:t>
      </w:r>
    </w:p>
    <w:p>
      <w:r>
        <w:t>Le 3 avril 2024, le poursuivi a formé recours contre cet arrêt auprès du Tribunal cantonal du canton de Vaud, qui a transmis ledit recours au Tribunal fédéral. Il ressort dudit recours que le poursuivi s'oppose à la mainlevée définitive et sollicite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4.3</w:t>
      </w:r>
    </w:p>
    <w:p>
      <w:r>
        <w:t>La première juge a retenu que le poursuivant réclamait la mainlevée de l'opposition à hauteur de 9'000 fr. pour les contributions d'entretien dues pour la période courant du 1 er août 2021 au 31 mars 2023 et constaté que le jugement du 6 juillet 2016 valait titre à la mainlevée définitive et que la bénéficiaire des contributions d'entretien avait valablement cédé ses droits au poursuivant, de sorte que la mainlevée définitive devait être prononcée.</w:t>
      </w:r>
    </w:p>
    <w:p>
      <w:r>
        <w:rPr>
          <w:b/>
        </w:rPr>
        <w:t>E. 4.4</w:t>
      </w:r>
    </w:p>
    <w:p>
      <w:r>
        <w:t>La cour cantonale a considéré que le recours formé par le poursuivi ne discutait aucunement le raisonnement suivi ni la portée des termes utilisés dans la décision de première instance et ne répondait donc pas aux exigences de motivation posées par l' art. 321 al. 1 CPC , de sorte que ledit recours était irrecevable.</w:t>
      </w:r>
    </w:p>
    <w:p>
      <w:r>
        <w:rPr>
          <w:b/>
        </w:rPr>
        <w:t>E. 4.5</w:t>
      </w:r>
    </w:p>
    <w:p>
      <w:r>
        <w:t>En substance, le recourant se plaint de ce que sa situation financière et son état de santé n'auraient pas été pris en compte.</w:t>
      </w:r>
    </w:p>
    <w:p>
      <w:r>
        <w:rPr>
          <w:b/>
        </w:rPr>
        <w:t>E. 4.6</w:t>
      </w:r>
    </w:p>
    <w:p>
      <w:r>
        <w:t>Le recourant ne démontre pas, références précises à l'appui, qu'il aurait valablement remis en cause la motivation de la décision du premier juge dans son recours cantonal et que la cour cantonale aurait arbitrairement appliqué l' art. 321 CPC , de sorte que son recours est irrecevable (cf. supra consid. 4.2), ce qu'il y a lieu de constater par voie de procédure simplifiée ( art. 108 al. 1 let. b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 Les frais judiciaires seront mis à la charge du recourant, qui succombe ( art. 66 al. 1 LTF ). Dans la mesure où l'intimé n'a pas été invité à se déterminer sur le recours,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