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51/2022 vom 7. Oktober 2022</w:t>
      </w:r>
    </w:p>
    <w:p>
      <w:r>
        <w:t>Bundesgericht, 2022-10-07, DE</w:t>
      </w:r>
    </w:p>
    <w:p>
      <w:r>
        <w:rPr>
          <w:b/>
        </w:rPr>
        <w:t xml:space="preserve">Quelle: </w:t>
      </w:r>
      <w:r>
        <w:t>https://mcp.opencaselaw.ch/entscheid/bger_4D_51_2022</w:t>
      </w:r>
    </w:p>
    <w:p>
      <w:r>
        <w:t>FR: TF 4D 51/2022 du 7 octobre 2022</w:t>
      </w:r>
    </w:p>
    <w:p>
      <w:r>
        <w:t>IT: TF 4D 51/2022 del 7 ottobre 2022</w:t>
      </w:r>
    </w:p>
    <w:p>
      <w:pPr>
        <w:pStyle w:val="Heading2"/>
      </w:pPr>
      <w:r>
        <w:t>Regeste</w:t>
      </w:r>
    </w:p>
    <w:p>
      <w:r>
        <w:t>Mieterausweisung, | Obligationenrecht (allgemein)</w:t>
      </w:r>
    </w:p>
    <w:p>
      <w:pPr>
        <w:pStyle w:val="Heading2"/>
      </w:pPr>
      <w:r>
        <w:t>Erwägungen</w:t>
      </w:r>
    </w:p>
    <w:p>
      <w:r>
        <w:rPr>
          <w:b/>
        </w:rPr>
        <w:t>E. 1</w:t>
      </w:r>
    </w:p>
    <w:p>
      <w:r>
        <w:t>Mit Entscheid vom 17. August 2022 wies das Zivilgericht Basel-Stadt den Beschwerdeführer an, das von ihm bewohnte möblierte Zimmer an der U.________strasse in V.________ bis spätestens 29. August 2022 zu räumen. Zugleich wurde ihm angedroht, dass widrigenfalls die Räumung vollzogen werde. Mit Entscheid vom 2. September 2022 trat das Appellationsgericht des Kantons Basel-Stadt auf eine vom Beschwerdeführer gegen den zivilgerichtlichen Entscheid vom 17. August 2022 erhobene Beschwerde nicht ein. Mit Eingabe vom 10. September 2022 (Posteingang: 16. September 2022) erklärte der Beschwerdeführer dem Bundesgericht, den Entscheid des Appellationsgerichts des Kantons Basel-Stadt vom 2. September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Der Beschwerdeführer zeigt nicht unter Bezugnahme auf die Erwägungen des angefochtenen Entscheids des Appellationsgerichts des Kantons Basel-Stadt vom 2. September 2022 auf, inwiefern die Vorinstanz mit ihrem Nichteintretensentscheid verfassungsmässige Rechte verletzt hätte. Die Beschwerdeeingabe vom 10. September 2022 erfüllt damit die erwähnten Begründungsanforderungen offensichtlich nicht. 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