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4/2025 vom 28. Januar 2025</w:t>
      </w:r>
    </w:p>
    <w:p>
      <w:r>
        <w:t>Bundesgericht, 2025-01-28, DE</w:t>
      </w:r>
    </w:p>
    <w:p>
      <w:r>
        <w:rPr>
          <w:b/>
        </w:rPr>
        <w:t xml:space="preserve">Quelle: </w:t>
      </w:r>
      <w:r>
        <w:t>https://mcp.opencaselaw.ch/entscheid/bger_4D_4_2025</w:t>
      </w:r>
    </w:p>
    <w:p>
      <w:r>
        <w:t>FR: TF 4D 4/2025 du 28 janvier 2025</w:t>
      </w:r>
    </w:p>
    <w:p>
      <w:r>
        <w:t>IT: TF 4D 4/2025 del 28 gennaio 2025</w:t>
      </w:r>
    </w:p>
    <w:p>
      <w:pPr>
        <w:pStyle w:val="Heading2"/>
      </w:pPr>
      <w:r>
        <w:t>Regeste</w:t>
      </w:r>
    </w:p>
    <w:p>
      <w:r>
        <w:t>definitive Rechtsöffnung, | Schuldbetreibungs- und Konkursrecht</w:t>
      </w:r>
    </w:p>
    <w:p>
      <w:pPr>
        <w:pStyle w:val="Heading2"/>
      </w:pPr>
      <w:r>
        <w:t>Erwägungen</w:t>
      </w:r>
    </w:p>
    <w:p>
      <w:r>
        <w:rPr>
          <w:b/>
        </w:rPr>
        <w:t>E. 1</w:t>
      </w:r>
    </w:p>
    <w:p>
      <w:r>
        <w:t>Die Einzelrichterin am Kreisgericht St. Gallen erteilte dem Beschwerdegegner mit Entscheid vom 8. Oktober 2024 in der Betreibung Nr. xxx des Betreibungsamtes der Stadt St. Gallen definitive Rechtsöffnung für Fr. 3'952.40 nebst 5 % Zins seit 3. Oktober 2024. Dagegen erhob der Beschwerdeführer Beschwerde an das Kantonsgericht St. Gallen und stellte ein Gesuch um Gewährung der unentgeltlichen Rechtspflege für das Beschwerdeverfahren. Das Kantonsgericht wies mit Entscheid vom 22. November 2024 sowohl das Gesuch um unentgeltliche Rechtspflege wie auch die Beschwerde ab, soweit es darauf eintrat. Gegen den Entscheid des Kantonsgerichts erhebt der Beschwerdeführer mit Eingabe vom 8. Januar 2025 Beschwerde an das Bundesgericht. Mit Verfügung vom 13. Januar 2025 wurde sein Gesuch um Gewährung der aufschiebenden Wirkung abgewiesen.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3'952.40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