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4D_4/2020 vom 23. Januar 2020</w:t>
      </w:r>
    </w:p>
    <w:p>
      <w:r>
        <w:t>Bundesgericht, 2020-01-23, DE</w:t>
      </w:r>
    </w:p>
    <w:p>
      <w:r>
        <w:rPr>
          <w:b/>
        </w:rPr>
        <w:t xml:space="preserve">Quelle: </w:t>
      </w:r>
      <w:r>
        <w:t>https://mcp.opencaselaw.ch/entscheid/bger_4D_4_2020</w:t>
      </w:r>
    </w:p>
    <w:p>
      <w:r>
        <w:t>FR: TF 4D_4/2020 du 23 janvier 2020</w:t>
      </w:r>
    </w:p>
    <w:p>
      <w:r>
        <w:t>IT: TF 4D_4/2020 del 23 gennaio 2020</w:t>
      </w:r>
    </w:p>
    <w:p>
      <w:pPr>
        <w:pStyle w:val="Heading2"/>
      </w:pPr>
      <w:r>
        <w:t>Volltext</w:t>
      </w:r>
    </w:p>
    <w:p>
      <w:r>
        <w:t>Bundesgericht</w:t>
      </w:r>
    </w:p>
    <w:p>
      <w:r>
        <w:t>Tribunal fédéral</w:t>
      </w:r>
    </w:p>
    <w:p>
      <w:r>
        <w:t>Tribunale federale</w:t>
      </w:r>
    </w:p>
    <w:p>
      <w:r>
        <w:t>Tribunal federal</w:t>
      </w:r>
    </w:p>
    <w:p>
      <w:r>
        <w:t>4D_4/2020</w:t>
      </w:r>
    </w:p>
    <w:p>
      <w:r>
        <w:t>Urteil vom 23. Januar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vertreten durch Rechtsanwalt Beat Lenel, Beschwerdegegnerin.</w:t>
      </w:r>
    </w:p>
    <w:p>
      <w:r>
        <w:t>Gegenstand</w:t>
      </w:r>
    </w:p>
    <w:p>
      <w:r>
        <w:t>Mietvertrag,</w:t>
      </w:r>
    </w:p>
    <w:p>
      <w:r>
        <w:t>Beschwerde gegen den Entscheid des Obergerichts des Kantons Thurgau vom 5. Dezember 2019 (ZR.2019.31).</w:t>
      </w:r>
    </w:p>
    <w:p>
      <w:r>
        <w:t>In Erwägung,</w:t>
      </w:r>
    </w:p>
    <w:p>
      <w:r>
        <w:t>dass die Einzelrichterin des Bezirksgerichts Kreuzlingen mit Entscheid vom 16. September 2019 eine von der Beschwerdegegnerin gegen die Beschwerdeführerin erhobene Klage teilweise guthiess, soweit darauf eingetreten werden konnte, und die Beschwerdeführerin zur Zahlung von Fr. 513.20, Fr. 37.75 sowie Fr. 821.40, jeweils nebst Zins, verurteilte und in der eingeleiteten Betreibung den Rechtsvorschlag im entsprechenden Umfang aufhob;</w:t>
      </w:r>
    </w:p>
    <w:p>
      <w:r>
        <w:t>dass das Obergericht des Kantons Thurgau mit Entscheid vom 5. Dezember 2019 eine von der Beschwerdeführerin gegen diesen Entscheid erhobene Berufung abwies;</w:t>
      </w:r>
    </w:p>
    <w:p>
      <w:r>
        <w:t>dass die Beschwerdeführerin dem Bundesgericht mit Eingabe vom 13. Januar 2020 erklärte, den Entscheid des Obergerichts des Kantons Thurgau vom 5. Dezember 2019 mit Beschwerde anfechten zu wollen;</w:t>
      </w:r>
    </w:p>
    <w:p>
      <w:r>
        <w:t>dass die Beschwerde in Zivilsachen gemäss Art. 72 ff. BGG angesichts des massgebenden Streitwerts nicht erhoben werden kann ( Art. 74 Abs. 1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Rechtsfrage von grundsätzlicher Bedeutung stellen könnte;</w:t>
      </w:r>
    </w:p>
    <w:p>
      <w:r>
        <w:t>dass die Eingabe der Beschwerdeführerin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sich die Beschwerdeführerin nicht hinreichend mit den Erwägungen des angefochtenen Entscheids des Obergerichts des Kantons Thurgau vom 5. Dezember 2019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w:t>
      </w:r>
    </w:p>
    <w:p>
      <w:r>
        <w:t>dass die Beschwerdeführerin im Übrigen die kantonalen Instanzen als befangen bezeichnet, ohne diesen Vorwurf jedoch hinreichend zu begründen;</w:t>
      </w:r>
    </w:p>
    <w:p>
      <w:r>
        <w:t>dass die Eingabe der Beschwerdeführerin vom 13. Januar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Thurgau schriftlich mitgeteilt.</w:t>
      </w:r>
    </w:p>
    <w:p>
      <w:r>
        <w:t>Lausanne, 23. Januar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