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4D_48/2007 vom 13. November 2007</w:t>
      </w:r>
    </w:p>
    <w:p>
      <w:r>
        <w:t>Bundesgericht, 2007-11-13, DE</w:t>
      </w:r>
    </w:p>
    <w:p>
      <w:r>
        <w:rPr>
          <w:b/>
        </w:rPr>
        <w:t xml:space="preserve">Quelle: </w:t>
      </w:r>
      <w:r>
        <w:t>https://mcp.opencaselaw.ch/entscheid/bger_4D_48_2007</w:t>
      </w:r>
    </w:p>
    <w:p>
      <w:r>
        <w:t>FR: TF 4D_48/2007 du 13 novembre 2007</w:t>
      </w:r>
    </w:p>
    <w:p>
      <w:r>
        <w:t>IT: TF 4D_48/2007 del 13 novembre 2007</w:t>
      </w:r>
    </w:p>
    <w:p>
      <w:pPr>
        <w:pStyle w:val="Heading2"/>
      </w:pPr>
      <w:r>
        <w:t>Erwägungen</w:t>
      </w:r>
    </w:p>
    <w:p>
      <w:r>
        <w:rPr>
          <w:b/>
        </w:rPr>
        <w:t>E. 1</w:t>
      </w:r>
    </w:p>
    <w:p>
      <w:r>
        <w:t>Das Bundesgericht prüft von Amtes wegen und mit freier Kognition, ob ein Rechtsmittel zulässig ist ( BGE 132 III 291 E. 1).</w:t>
      </w:r>
    </w:p>
    <w:p>
      <w:r>
        <w:rPr>
          <w:b/>
        </w:rPr>
        <w:t>E. 1.1</w:t>
      </w:r>
    </w:p>
    <w:p>
      <w:r>
        <w:t>Die Beschwerdeschrift hat ein Rechtsbegehren zu enthalten ( Art. 42 Abs. 1 BGG ). Im Gegensatz zur staatsrechtlichen Beschwerde nach OG, die grundsätzlich rein kassatorischer Natur war (vgl. etwa BGE 129 I 129 E. 1.2.1 S. 131 f.), ist die subsidiäre Verfassungsbeschwerde (gleich wie die ordentliche Beschwerde) ein reformatorisches Rechtsmittel ( Art. 117 BGG in Verbindung mit Art. 107 Abs. 2 BGG ). Daher darf sich der Beschwerdeführer grundsätzlich nicht darauf beschränken, die Aufhebung des angefochtenen Entscheids zu beantragen, sondern muss einen Antrag in der Sache stellen. Wie nach der Praxis zur Beschwerde in Zivilsachen und altrechtlichen Berufung muss der Beschwerdeführer demnach angeben, welche Punkte des Entscheids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(vgl. BGE 133 III 489 E. 3.1 mit Hinweisen).</w:t>
      </w:r>
    </w:p>
    <w:p>
      <w:r>
        <w:rPr>
          <w:b/>
        </w:rPr>
        <w:t>E. 1.2</w:t>
      </w:r>
    </w:p>
    <w:p>
      <w:r>
        <w:t>Vorliegend verlangt der Beschwerdeführer lediglich, den Beschluss des Obergerichts vom 13. Juli 2007 aufzuheben und die Sache an das Obergericht zu neuer Beurteilung zurückzuweisen. Einen materiellen Antrag stellt er nicht. Dass das Bundesgericht im Falle der Gutheissung der Beschwerde nicht selbst in der Lage wäre, ein Urteil zu fällen, und die Streitsache an die Vorinstanz zurückweisen müsste, geht aus dem angefochtenen Beschluss nicht ohne weiteres hervor und wird auch in der Beschwerde in keiner Weise dargetan, wird doch nicht begründet, weshalb die Streitsache zu neuer Beurteilung an die Vorinstanz zurückzuweisen sei.</w:t>
      </w:r>
    </w:p>
    <w:p>
      <w:r>
        <w:rPr>
          <w:b/>
        </w:rPr>
        <w:t>E. 1.3</w:t>
      </w:r>
    </w:p>
    <w:p>
      <w:r>
        <w:t>Demnach ergibt sich, dass der Beschwerdeführer keinen rechtsgenüglichen Antrag gestellt hat und demzufolge auf die subsidiäre Verfassungsbeschwerde nicht eingetreten werden kann.</w:t>
      </w:r>
    </w:p>
    <w:p>
      <w:r>
        <w:rPr>
          <w:b/>
        </w:rPr>
        <w:t>E. 2</w:t>
      </w:r>
    </w:p>
    <w:p>
      <w:r>
        <w:t>Bei diesem Verfahrensausgang wird der Beschwerdeführer kostenpflichtig ( Art. 66 Abs. 1 BGG ). Da sich die Beschwerdegegnerin lediglich (kurz) zum Gesuch um aufschiebende Wirkung, nicht aber zur Beschwerde vernehmen liess, rechtfertigt es sich, auf die Zusprechung einer Parteientschädigung zu verzichten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