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4D_45/2010 vom 31. Mai 2010</w:t>
      </w:r>
    </w:p>
    <w:p>
      <w:r>
        <w:t>Bundesgericht, 2010-05-31, FR</w:t>
      </w:r>
    </w:p>
    <w:p>
      <w:r>
        <w:rPr>
          <w:b/>
        </w:rPr>
        <w:t xml:space="preserve">Quelle: </w:t>
      </w:r>
      <w:r>
        <w:t>https://mcp.opencaselaw.ch/entscheid/bger_4D_45_2010</w:t>
      </w:r>
    </w:p>
    <w:p>
      <w:r>
        <w:t>FR: TF 4D_45/2010 du 31 mai 2010</w:t>
      </w:r>
    </w:p>
    <w:p>
      <w:r>
        <w:t>IT: TF 4D_45/2010 del 31 maggio 2010</w:t>
      </w:r>
    </w:p>
    <w:p>
      <w:pPr>
        <w:pStyle w:val="Heading2"/>
      </w:pPr>
      <w:r>
        <w:t>Erwägungen</w:t>
      </w:r>
    </w:p>
    <w:p>
      <w:r>
        <w:rPr>
          <w:b/>
        </w:rPr>
        <w:t>E. 1</w:t>
      </w:r>
    </w:p>
    <w:p>
      <w:r>
        <w:t>Le recours est dirigé contre un jugement rendu en matière civile ( art. 72 al. 1 LTF ). La valeur litigieuse n'atteint pas le minimum légal de 15'000 fr. exigé en matière de droit du bail à loyer (art. 51 al. 1 let. a et 74 al. 1 let. a LTF) et aucun des cas de dispense prévus par la loi ne se trouve réalisé ( art. 74 al. 2 LTF ); en conséquence, la cause n'est susceptible que du recours constitutionnel subsidiaire ( art. 113 LTF ), à l'exclusion du recours ordinaire en matière civile. Le recours est dirigé contre un jugement final rendu en dernière instance cantonale ( art. 75 al. 1, 90 et 117 LTF ). Le demandeur a pris part à l'instance précédente et il a succombé dans des conclusions concernant son patrimoine personnel ( art. 115 LTF ); il a recouru en temps utile ( art. 100 al. 1 et 117 LTF ) et dans les formes requises (art. 42 al. 1 à 3 LTF).</w:t>
      </w:r>
    </w:p>
    <w:p>
      <w:r>
        <w:t>Le recours constitutionnel ne peut être exercé que pour violation des droits constitutionnels ( art. 116 LTF ) et le Tribunal fédéral ne se saisit que des griefs soulevés et motivés de façon détaillée par la partie recourante ( art. 106 al. 2 et 117 LTF ; ATF 134 I 83 consid. 3.2 p. 88; 134 II 244 consid. 2.2 p. 246; 133 III 439 consid. 3.2 p. 444).</w:t>
      </w:r>
    </w:p>
    <w:p>
      <w:r>
        <w:rPr>
          <w:b/>
        </w:rPr>
        <w:t>E. 2</w:t>
      </w:r>
    </w:p>
    <w:p>
      <w:r>
        <w:t>Le demandeur invoque surtout la protection contre l'arbitraire conférée par l' art. 9 Cst.</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w:t>
      </w:r>
    </w:p>
    <w:p>
      <w:r>
        <w:rPr>
          <w:b/>
        </w:rPr>
        <w:t>E. 3</w:t>
      </w:r>
    </w:p>
    <w:p>
      <w:r>
        <w:t>En matière de bail à loyer, pour autant que la convention des parties le prévoie spécialement, le locataire doit rembourser en sus du loyer les dépenses effectives supportées par le bailleur en rapport avec l'usage de la chose louée, telles que les frais de chauffage et de consommation d'eau chaude pour les habitations ou les locaux commerciaux ( art. 257a et 257b al. 1 CO ). Le bailleur peut percevoir ces frais - dits accessoires - de manière forfaitaire, sur la base de la moyenne des dépenses effectives calculée sur une période de trois ans ( art. 4 al. 2 OBLF ; RS 221.213.11). Il peut également se faire rembourser les dépenses effectives sur la base d'un décompte; il doit alors établir ce document au moins une fois par année et le présenter au locataire ( art. 4 al. 1 OBLF ). La convention peut prévoir que dans l'intervalle des décomptes successifs, le locataire versera des acomptes. Ces deux systèmes peuvent être juxtaposés en ce sens que le locataire remboursera certains frais - en l'occurrence, ceux d'eau chaude - de manière forfaitaire et d'autres - ici ceux de chauffage - sur la base d'un décompte (David Lachat, Le bail à loyer, 2008, p. 336 nos 2.4 à 2.7).</w:t>
      </w:r>
    </w:p>
    <w:p>
      <w:r>
        <w:t>Les clauses contractuelles relatives aux frais accessoires, ayant pour objet de spécifier les dépenses imputables au locataire et les montants que celui-ci doit verser périodiquement à titre de forfait ou d'acomptes, sont modifiables à l'initiative du bailleur ou du locataire selon les art. 269d, 270a et 270b CO qui visent au premier chef l'augmentation ou la diminution du loyer (Lachat, op. cit., p. 336 nos 3.1 et ss; cf. ATF 121 III 460 consid. 2a/bb p. 462).</w:t>
      </w:r>
    </w:p>
    <w:p>
      <w:r>
        <w:rPr>
          <w:b/>
        </w:rPr>
        <w:t>E. 4</w:t>
      </w:r>
    </w:p>
    <w:p>
      <w:r>
        <w:t>Le forfait mensuel destiné à couvrir les frais d'eau chaude est une obligation du demandeur que la bailleresse a introduite dans le contrat déjà à la fin de 1999. Le demandeur ne l'a pas contestée, alors, de la manière et dans le délai prévus par l' art. 270b CO . S'il s'y croit fondé, il peut réclamer la diminution du montant exigible à l'avenir, de la manière et dans le délai prévus par l' art. 270a al. 1 et 2 CO avant chaque terme de résiliation du contrat. En revanche, le décompte des frais de chauffage n'est pas l'occasion de contester le montant du forfait d'eau chaude. Dans son résultat au moins, la décision refusant le remboursement des sommes versées au titre du forfait d'eau chaude se révèle pleinement compatible avec l' art. 9 Cst.</w:t>
      </w:r>
    </w:p>
    <w:p>
      <w:r>
        <w:rPr>
          <w:b/>
        </w:rPr>
        <w:t>E. 5</w:t>
      </w:r>
    </w:p>
    <w:p>
      <w:r>
        <w:t>Aux termes de l' art. 8 CC ,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132 III 689 consid. 4.5 p. 701/702; 129 III 18 consid. 2.6 p. 24). Lorsque le locataire conteste un décompte présenté par le bailleur et agit en justice afin de recouvrer les acomptes et autres sommes versées pour la couverture des frais concernés, la disposition précitée impose à ce plaideur-ci, soit au bailleur, de prouver les dépenses qu'il a incorporées au décompte litigieux et dont il prétend conserver la contre-valeur (Lachat, op. cit., p. 338 ch. 4.1).</w:t>
      </w:r>
    </w:p>
    <w:p>
      <w:r>
        <w:t>La Chambre d'appel refuse le remboursement des acomptes de chauffage au motif que le demandeur a omis d'indiquer avec précision en quoi les justificatifs produits par l'adverse partie n'étaient pas suffisants ou devaient être retranchés. Cela consacre une violation flagrante de l' art. 8 CC car il appartenait au contraire à la défenderesse de démontrer la pertinence de ses propres moyens de preuve. Par son ordonnance du 20 février 2008, le tribunal l'a d'ailleurs invitée à le faire. Il a ensuite retenu que les justificatifs produits par elle sont totalement incompréhensibles. Il incombait à la Chambre d'appel de contrôler cette appréciation, dans les limites du pouvoir d'examen limité qui lui est reconnu par le droit cantonal de procédure lorsque la valeur litigieuse n'atteint pas 8'000 fr., puis de statuer, d'après le résultat, conformément à l' art. 8 CC . Sa décision se révèle arbitraire et elle sera donc annulée; la cause doit lui être renvoyée afin qu'elle procède à ce contrôle et rende une nouvelle décision au sujet des acomptes de chauffage.</w:t>
      </w:r>
    </w:p>
    <w:p>
      <w:r>
        <w:rPr>
          <w:b/>
        </w:rPr>
        <w:t>E. 6</w:t>
      </w:r>
    </w:p>
    <w:p>
      <w:r>
        <w:t>A titre de partie qui succombe, la défenderesse doit acquitter l'émolument à percevoir par le Tribunal fédéral et les dépens auxquels le demandeur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