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4D_43/2021 vom 13. Juli 2021</w:t>
      </w:r>
    </w:p>
    <w:p>
      <w:r>
        <w:t>Bundesgericht, 2021-07-13, DE</w:t>
      </w:r>
    </w:p>
    <w:p>
      <w:r>
        <w:rPr>
          <w:b/>
        </w:rPr>
        <w:t xml:space="preserve">Quelle: </w:t>
      </w:r>
      <w:r>
        <w:t>https://mcp.opencaselaw.ch/entscheid/bger_4D_43_2021</w:t>
      </w:r>
    </w:p>
    <w:p>
      <w:r>
        <w:t>FR: TF 4D_43/2021 du 13 juillet 2021</w:t>
      </w:r>
    </w:p>
    <w:p>
      <w:r>
        <w:t>IT: TF 4D_43/2021 del 13 luglio 2021</w:t>
      </w:r>
    </w:p>
    <w:p>
      <w:pPr>
        <w:pStyle w:val="Heading2"/>
      </w:pPr>
      <w:r>
        <w:t>Erwägungen</w:t>
      </w:r>
    </w:p>
    <w:p>
      <w:r>
        <w:rPr>
          <w:b/>
        </w:rPr>
        <w:t>E. 1</w:t>
      </w:r>
    </w:p>
    <w:p>
      <w:r>
        <w:t>Der angefochtene Entscheid ist ein verfahrensabschliessender Endentscheid (Art. 117 i.V.m. Art. 90 BGG ) einer letzten kantonalen Instanz (Art. 114 i.V.m. Art. 75 Abs. 1 BGG ). Der Streitwert erreicht die für arbeitsrechtliche Streitigkeiten erforderliche Streitwertgrenze von Art. 74 Abs. 1 lit. a BGG nicht, weshalb die Beschwerde in Zivilsachen nicht gegeben ist. Die erhobene subsidiäre Verfassungsbeschwerde erweist sich demnach als das zulässige Rechtsmittel ( Art. 113 BGG ).</w:t>
      </w:r>
    </w:p>
    <w:p>
      <w:r>
        <w:rPr>
          <w:b/>
        </w:rPr>
        <w:t>E. 2.1</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138 I 171 E. 1.4; 135 III 127 E. 1.6; 133 III 439 E. 3.2).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115 E. 2). Auf rein appellatorische Kritik am angefochtenen Entscheid tritt das Bundesgericht nicht ein ( BGE 134 II 244 E. 2.2).</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w:t>
      </w:r>
    </w:p>
    <w:p>
      <w:r>
        <w:rPr>
          <w:b/>
        </w:rPr>
        <w:t>E. 3.1</w:t>
      </w:r>
    </w:p>
    <w:p>
      <w:r>
        <w:t>Der Beschwerdeführer bestritt die Gültigkeit der Kündigung vom 10. September 2018 mit dem Argument, dass sie nicht von einer vertretungsberechtigten Person unterschrieben worden sei. Unter Berufung auf BGE 128 III 129 E. 2b machte er geltend, er sei mangels Reaktion der Beschwerdegegnerin auf seinen Protest in Unsicherheit darüber verblieben, ob die Kündigung von einer zuständigen Person ausgesprochen worden sei. Daher habe ein unzumutbarer Schwebezustand im Sinne des bundesgerichtlichen Entscheids geherrscht, der die Kündigung ungültig mache.</w:t>
      </w:r>
    </w:p>
    <w:p>
      <w:r>
        <w:rPr>
          <w:b/>
        </w:rPr>
        <w:t>E. 3.2</w:t>
      </w:r>
    </w:p>
    <w:p>
      <w:r>
        <w:t>Die Vorinstanz folgte dieser Argumentation nicht. In Würdigung der Akten und der Parteiaussagen beider Parteien gelangte sie zum Ergebnis, dass die auf dem Briefpapier und im Namen der B.________ SA ausgesprochene Kündigung vom 10. September 2018 sehr wohl durch die Arbeitgeberin des Beschwerdeführers erfolgt sei. Gestützt auf die Vollmacht vom 1. Juli 2017 nahm sie sodann an, dass C.________ ermächtigt war, die Kündigung auszusprechen, und diese somit der Arbeitgeberin zuzurechnen sei. Schliesslich gelangte sie in Würdigung der Parteiaussagen zum Beweisergebnis, dass dem Beschwerdeführer seit dem Gespräch von Ende Juli 2018 mit C.________ bekannt war, dass dieser sein neuer Vorgesetzter sei und die D.________ das Management der B.________ SA übernommen habe. Es habe daher keine Unsicherheit oder ein Schwebezustand bestanden. Der Beschwerdeführer habe nach dem Gespräch von Ende Juli 2018 mit C.________ im August eine von diesem unterzeichnete Kündigung erhalten. Er habe somit bereits ab diesem Zeitpunkt gewusst, dass das Arbeitsverhältnis beendet werden sollte. Dass diese erste Kündigung vom August 2018 wegen der gesetzlichen Sperrfrist ungültig gewesen und darum im September erneuert worden sei, ändere daran nichts. Nach Erhalt der neuen Kündigung habe er die gesamte Kündigungsfrist abgewartet und erst am Ende den angeblichen Mangel vorgebracht. Unter diesen Voraussetzungen habe kein Schwebezustand bestanden, der für ihn unzumutbar gewesen wäre.</w:t>
      </w:r>
    </w:p>
    <w:p>
      <w:r>
        <w:rPr>
          <w:b/>
        </w:rPr>
        <w:t>E. 3.3</w:t>
      </w:r>
    </w:p>
    <w:p>
      <w:r>
        <w:t>Der Beschwerdeführer rügt eine willkürliche Beweiswürdigung.</w:t>
      </w:r>
    </w:p>
    <w:p>
      <w:r>
        <w:t>Willkür ( Art. 9 BV )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 BGE 144 II 281 E. 3.6.2; 140 III 264 E. 2.3;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134 II 244 E. 2.2).</w:t>
      </w:r>
    </w:p>
    <w:p>
      <w:r>
        <w:t>Dies gelingt dem Beschwerdeführer nicht. Er moniert, dass die Vorinstanz gewisse Sachverhaltselemente nicht festgehalten bzw. berücksichtigt habe, führt einzelne Beweise an, die anders als im angefochtenen Entscheid gewichtet werden sollen, ortet angebliche Aktenwidrigkeiten, ohne aber im Einzelnen einen ausschlaggebenden Einfluss auf das Gesamtergebnis hinreichend aufzuzeigen. Im wesentlichen beharrt er auf seiner Sicht der Dinge und unterbreitet dem Bundesgericht bloss seine eigene Auffassung, begründet aber nicht rechtsgenügend, weshalb die anderslautenden Schlüsse der Vorinstanz geradezu unhaltbar sein sollen. Darauf ist nicht weiter einzugehen. Soweit er mit seiner Kritik gehört werden kann, ist Willkür nicht erkennbar:</w:t>
      </w:r>
    </w:p>
    <w:p>
      <w:r>
        <w:t>So begründet die Vorinstanz ihre Annahme, dass dem Beschwerdeführer bekannt gewesen sei, dass C.________ ermächtigt war, für die Beschwerdegegnerin Kündigungen auszusprechen, und seine anderslautenden Aussagen weniger glaubwürdig seien als diejenigen von C.________ in durchaus plausibler Weise unter anderem damit, dass es seltsam sei, dass der Beschwerdeführer bei der ebenfalls von C.________ unterschriebenen ersten Kündigung dessen angeblich fehlende Legitimation nicht moniert und auch bei der zweiten bis zum Schluss der Kündigungsfrist mit diesem Einwand zugewartet hatte. Der Beschwerdeführer hält dem entgegen, dass die erste Kündigung, die während der Sperrfrist ausgesprochen worden sei, nichtig gewesen sei und keinerlei Wirkungen entfalte. Das ist richtig, hat aber auch die Vorinstanz nicht übersehen. Gleichwohl durfte sie die unterlassene Monierung einer angeblich fehlenden Legitimation von C.________, eine Kündigung auszusprechen, als Element dafür würdigen, dass seine diesbezüglichen Aussagen während des Gerichtsverfahrens weniger glaubwürdig erschienen als diejenigen von C.________. Willkür ist dabei nicht zu erblicken.</w:t>
      </w:r>
    </w:p>
    <w:p>
      <w:r>
        <w:t>Gleiches gilt, soweit er aus dem Umstand, dass die Beschwerdegegnerin auf sein Protestschreiben vom 26. November 2018 nicht reagiert habe, ableiten will, dass diese dadurch einen Schwebezustand im Sinne von BGE 128 III 129 geschaffen habe. Mag sein, dass eine solche Argumentation vertretbar erscheint. Gleichwohl ist es nicht willkürlich, wenn die Vorinstanz diesen Umstand weniger gewichtete als das vorangehende Verhalten des Beschwerdeführers und daraus auf dessen Kenntnis der Legitimierung von C.________ schliesst.</w:t>
      </w:r>
    </w:p>
    <w:p>
      <w:r>
        <w:t>Der Beschwerdeführer macht sodann geltend, die Feststellung der Vorinstanz, der Beschwerdeführer habe die Managementsübertragung auf die D.________ anerkannt, stehe im Widerspruch zu den Akten. Er beruft sich auf das Protokoll der Verhandlung vom 17. November 2020, anlässlich derer C.________ behauptet habe, dass die D.________ Ende Juli 2018 das Management der B.________ SA von der F.________ AG übernommen habe. Dies habe der Beschwerdeführer bestritten und keineswegs anerkannt. An der angegebenen Seite 2 des Protokolls hat Rechtsanwalt Affolter für die Beschwerdegegnerin jedoch behauptet: "Herr A.________ wusste genau, dass ab 1. August 2018 die F.________ das Management der D.________ übergeben hat und dass sein Ansprechpartner Herr C.________ war...". Kern dieser - bestrittenen - Behauptung war demnach die Kenntnis des Beschwerdeführers. Eben dies stellte die Vorinstanz in E. 4.3 fest: Es werde bestritten, dass der Beschwerdeführer über diesen Übergang informiert worden sei. Zu diesem Thema nahm sie in der Folge eine Beweiswürdigung vor. Aktenwidrigkeit ist demnach nicht belegt. Dass bereits die Tatsache des Übergangs des Managements im Zusammenhang mit der Gültigkeit der Vollmacht vom 1. Juli 2017 formgültig bestritten wurde und insofern Aktenwidrigkeit vorläge, wird nicht rechtsgenügend aufgezeigt.</w:t>
      </w:r>
    </w:p>
    <w:p>
      <w:r>
        <w:t>Schliesslich hält der Beschwerdeführer den Vorwurf der Vorinstanz für unhaltbar, er verhalte sich widersprüchlich, wenn er sich im Sinne einer Teileinigung mit einem Arbeitszeugnis, welches als Austrittsdatum den 30. November 2018 nenne, einverstanden erkläre, obwohl er gleichzeitig geltend mache, die Kündigung sei formungültig und habe ihre Gestaltungswirkung gar nicht entfaltet. Die Vorinstanz fügt diesen Vorhalt den anderen Argumenten hinzu, um zu begründen, weshalb sie die Aussagen von C.________ für glaubwürdiger hält als diejenigen des Beschwerdeführers. In diesem Kontext ist der Vorhalt nicht unhaltbar, sondern sachgerecht.</w:t>
      </w:r>
    </w:p>
    <w:p>
      <w:r>
        <w:t>Insgesamt gelingt es dem Beschwerdeführer nicht, die Beweiswürdigung der Vorinstanz als willkürlich auszuweisen.</w:t>
      </w:r>
    </w:p>
    <w:p>
      <w:r>
        <w:rPr>
          <w:b/>
        </w:rPr>
        <w:t>E. 4</w:t>
      </w:r>
    </w:p>
    <w:p>
      <w:r>
        <w:t>Die Beschwerde erweist sich als unbegründet und ist abzuweisen, soweit darauf eingetreten werden kann. Ausgangsgemäss wird der Beschwerdeführer kostenpflichtig ( Art. 66 Abs. 1 BGG ). Eine Parteientschädigung ist nicht zu sprechen, da der Beschwerdegegnerin im bundesgerichtlichen Verfahren mangels Einholens einer Antwort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