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4D_42/2011 vom 21. Juni 2011</w:t>
      </w:r>
    </w:p>
    <w:p>
      <w:r>
        <w:t>Bundesgericht, 2011-06-21, FR</w:t>
      </w:r>
    </w:p>
    <w:p>
      <w:r>
        <w:rPr>
          <w:b/>
        </w:rPr>
        <w:t xml:space="preserve">Quelle: </w:t>
      </w:r>
      <w:r>
        <w:t>https://mcp.opencaselaw.ch/entscheid/bger_4D_42_2011</w:t>
      </w:r>
    </w:p>
    <w:p>
      <w:r>
        <w:t>FR: TF 4D_42/2011 du 21 juin 2011</w:t>
      </w:r>
    </w:p>
    <w:p>
      <w:r>
        <w:t>IT: TF 4D_42/2011 del 21 giugno 2011</w:t>
      </w:r>
    </w:p>
    <w:p>
      <w:pPr>
        <w:pStyle w:val="Heading2"/>
      </w:pPr>
      <w:r>
        <w:t>Erwägungen</w:t>
      </w:r>
    </w:p>
    <w:p>
      <w:r>
        <w:rPr>
          <w:b/>
        </w:rPr>
        <w:t>E. 1.1</w:t>
      </w:r>
    </w:p>
    <w:p>
      <w:r>
        <w:t>Par jugement du 23 septembre 2010, le Tribunal de première instance du canton de Genève a condamné X.________, défenderesse, à payer à Y.________ SA, demanderesse, la somme de 12'035 fr. 60, intérêts en sus, à titre de rémunération des travaux d'installations sanitaires exécutés par cette entreprise dans la maison propriété de la prénommée.</w:t>
      </w:r>
    </w:p>
    <w:p>
      <w:r>
        <w:t>Statuant par arrêt du 15 avril 2011, sur appel interjeté par X.________, la Chambre civile de la Cour de justice genevoise a confirmé ledit jugement. Elle a retenu, en résumé, que la demanderesse avait pu considérer, de bonne foi, que l'ex-mari de la défenderesse, respectivement le bureau d'architectes de celui-ci, avait agi en tant que représentant de cette partie. Au demeurant, la défenderesse n'avait pas fourni d'indications précises quant au fait que des travaux auraient été facturés indûment. Enfin, les défauts allégués, à les supposer avérés, avaient fait l'objet d'un avis qui était tardif.</w:t>
      </w:r>
    </w:p>
    <w:p>
      <w:r>
        <w:rPr>
          <w:b/>
        </w:rPr>
        <w:t>E. 1.2</w:t>
      </w:r>
    </w:p>
    <w:p>
      <w:r>
        <w:t>Le 25 mai 2011, X.________ a adressé au Tribunal fédéral une lettre dans laquelle elle indique former recours contre l'arrêt cantonal précité, au motif que ses droits constitutionnels auraient été violés, une plainte pénale visant son ex-mari et la société demanderesse étant toujours pendante devant l'autorité genevoise compétente, selon ses dires.</w:t>
      </w:r>
    </w:p>
    <w:p>
      <w:r>
        <w:t>L'intimée et la cour cantonale n'ont pas été invitées à déposer une réponse.</w:t>
      </w:r>
    </w:p>
    <w:p>
      <w:r>
        <w:rPr>
          <w:b/>
        </w:rPr>
        <w:t>E. 2.1</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w:t>
      </w:r>
    </w:p>
    <w:p>
      <w:r>
        <w:rPr>
          <w:b/>
        </w:rPr>
        <w:t>E. 2.2</w:t>
      </w:r>
    </w:p>
    <w:p>
      <w:r>
        <w:t>On cherche en vain, dans l'acte de recours, l'indication d'un droit constitutionnel qui aurait été méconnu par la Chambre civile. Le principe rendu par l'adage "le pénal tient le civil en l'état", auquel la recourante semble se référer implicitement, ne constitue pas un tel droit. A cela vient s'ajouter le fait que, selon les pièces produites par l'intéressée, sa plainte pénale a été déposée après que l'arrêt attaqué eut été rendu.</w:t>
      </w:r>
    </w:p>
    <w:p>
      <w:r>
        <w:t>Dans ces conditions, il n'est pas possible d'entrer en matière. Application sera donc faite de la procédure simplifiée, conformément à l' art. 108 al. 1 let. a et b LTF auquel renvoie l' art. 117 LTF .</w:t>
      </w:r>
    </w:p>
    <w:p>
      <w:r>
        <w:rPr>
          <w:b/>
        </w:rPr>
        <w:t>E. 3</w:t>
      </w:r>
    </w:p>
    <w:p>
      <w:r>
        <w:t>Le sort réservé au recours commande que les frais de la procédure fédérale soient supportés par l'auteur de celui-ci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