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4D_40/2025 vom 9. April 2025</w:t>
      </w:r>
    </w:p>
    <w:p>
      <w:r>
        <w:t>Bundesgericht, 2025-04-09, DE</w:t>
      </w:r>
    </w:p>
    <w:p>
      <w:r>
        <w:rPr>
          <w:b/>
        </w:rPr>
        <w:t xml:space="preserve">Quelle: </w:t>
      </w:r>
      <w:r>
        <w:t>https://mcp.opencaselaw.ch/entscheid/bger_4D_40_2025</w:t>
      </w:r>
    </w:p>
    <w:p>
      <w:r>
        <w:t>FR: TF 4D_40/2025 du 9 avril 2025</w:t>
      </w:r>
    </w:p>
    <w:p>
      <w:r>
        <w:t>IT: TF 4D_40/2025 del 9 aprile 2025</w:t>
      </w:r>
    </w:p>
    <w:p>
      <w:pPr>
        <w:pStyle w:val="Heading2"/>
      </w:pPr>
      <w:r>
        <w:t>Erwägungen</w:t>
      </w:r>
    </w:p>
    <w:p>
      <w:r>
        <w:rPr>
          <w:b/>
        </w:rPr>
        <w:t>E. 1</w:t>
      </w:r>
    </w:p>
    <w:p>
      <w:r>
        <w:t>Mit Urteil vom 3. Februar 2025 erteilte das Einzelgericht Audienz am Bezirksgericht Zürich dem Beschwerdegegner in der Betreibung Nr. xxx des Betreibungsamts Zürich 1 (Zahlungsbefehl vom 9. Oktober 2024) definitive Rechtsöffnung für Fr. 7'900.-- nebst Zins. Im Mehrbetrag wies es das Rechtsöffnungsgesuch ab. Dagegen erhob die Beschwerdeführerin Beschwerde an das Obergericht des Kantons Zürich. Das Obergericht wies mit Urteil vom 20. Februar 2025 die Beschwerde ab.</w:t>
      </w:r>
    </w:p>
    <w:p>
      <w:r>
        <w:t>Gegen dieses Urteil erhebt die Beschwerdeführerin mit Eingabe vom 26. Februar 2025 Beschwerde an das Bundesgericht. Auf das Einholen von Vernehmlassungen zur Beschwerde wurde verzichtet.</w:t>
      </w:r>
    </w:p>
    <w:p>
      <w:r>
        <w:rPr>
          <w:b/>
        </w:rPr>
        <w:t>E. 2</w:t>
      </w:r>
    </w:p>
    <w:p>
      <w:r>
        <w:t>Die Beschwerdeführerin hat ihre Beschwerde in französischer Sprache eingereicht. Gemäss Art. 54 Abs. 1 BGG wird das bundesgerichtliche Verfahren in der Regel in der Sprache des angefochtenen Urteils geführt, weshalb das Urteil des Bundesgerichts vorliegend in deutscher Sprache ergeht.</w:t>
      </w:r>
    </w:p>
    <w:p>
      <w:r>
        <w:rPr>
          <w:b/>
        </w:rPr>
        <w:t>E. 3</w:t>
      </w:r>
    </w:p>
    <w:p>
      <w:r>
        <w:t>Das Bundesgericht prüft von Amtes wegen und mit freier Kognition, ob ein Rechtsmittel zulässig ist ( Art. 29 Abs. 1 BGG ; BGE 149 III 277 E. 3.1 mit Hinweisen).</w:t>
      </w:r>
    </w:p>
    <w:p>
      <w:r>
        <w:rPr>
          <w:b/>
        </w:rPr>
        <w:t>E. 3.1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7'900.-- und erreicht damit die Streitwertgrenze nicht.</w:t>
      </w:r>
    </w:p>
    <w:p>
      <w:r>
        <w:rPr>
          <w:b/>
        </w:rPr>
        <w:t>E. 3.2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Die Beschwerdeführerin behauptet nicht, zumindest offensichtlich nicht hinreichend, dass sich eine Rechtsfrage von grundsätzlicher Bedeutung stellt. Unter diesen Umständen ist die Beschwerde in Zivilsachen nicht zulässig, sondern es steht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Die Eingabe der Beschwerdeführerin erfüllt diese Begründungsanforderungen offensichtlich nicht. Sie wiederholt darin im Wesentlichen bloss ihren bereits vor der Vorinstanz vorgetragenen Standpunkt, wonach ihr gegenüber dem Beschwerdegegner eine Forderung von Fr. 1'950'000.-- zustehe, weshalb die Forderung von Fr. 7'900.-- getilgt sei. Sie geht indessen auf die Erwägungen der Vorinstanz nicht hinreichend konkret ein, geschweige denn zeigt sie nachvollziehbar auf, welche verfassungsmässigen Rechte die Vorinstanz mit ihrem Entscheid inwiefern verletzt haben soll, als diese zum Schluss kam, dass es sich bei der Behauptung, dass eine Forderung von Fr. 1'950'000.-- existiere und verrechnet werde, um ein unzulässiges Novum handle.</w:t>
      </w:r>
    </w:p>
    <w:p>
      <w:r>
        <w:t>Auf die Beschwerde ist somit mangels hinreichender Begründung nicht einzutreten ( Art. 108 Abs. 1 lit. b BGG in Verbindung mit Art. 117 BGG ).</w:t>
      </w:r>
    </w:p>
    <w:p>
      <w:r>
        <w:rPr>
          <w:b/>
        </w:rPr>
        <w:t>E. 6</w:t>
      </w:r>
    </w:p>
    <w:p>
      <w:r>
        <w:t>Bei diesem Ausgang des Verfahrens sind die Gerichtskosten der Beschwerdeführerin aufzuerlegen ( Art. 66 Abs. 1 BGG ). Der Beschwerdegegner hat keinen Anspruch auf eine Parteientschädigung, da ihm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