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4D_40/2021 vom 18. Juni 2021</w:t>
      </w:r>
    </w:p>
    <w:p>
      <w:r>
        <w:t>Bundesgericht, 2021-06-18, DE</w:t>
      </w:r>
    </w:p>
    <w:p>
      <w:r>
        <w:rPr>
          <w:b/>
        </w:rPr>
        <w:t xml:space="preserve">Quelle: </w:t>
      </w:r>
      <w:r>
        <w:t>https://mcp.opencaselaw.ch/entscheid/bger_4D_40_2021</w:t>
      </w:r>
    </w:p>
    <w:p>
      <w:r>
        <w:t>FR: TF 4D_40/2021 du 18 juin 2021</w:t>
      </w:r>
    </w:p>
    <w:p>
      <w:r>
        <w:t>IT: TF 4D_40/2021 del 18 giugno 2021</w:t>
      </w:r>
    </w:p>
    <w:p>
      <w:pPr>
        <w:pStyle w:val="Heading2"/>
      </w:pPr>
      <w:r>
        <w:t>Erwägungen</w:t>
      </w:r>
    </w:p>
    <w:p>
      <w:r>
        <w:rPr>
          <w:b/>
        </w:rPr>
        <w:t>E. 1</w:t>
      </w:r>
    </w:p>
    <w:p>
      <w:r>
        <w:t>Mit Urteil vom 26. Oktober 2020 verpflichtete das Bezirksgericht Leuk und Westlich-Raron die Beschwerdeführer solidarisch, den Beschwerdegegnern den Betrag von Fr. 1'584.40 nebst Zins zu 5 % ab dem 13. Dezember 2017 zu bezahlen; soweit weitergehend wies es die Klage ab. Zudem beseitigte das Bezirksgericht in der Betreibung xxx des Betreibungsamts U.________ den Rechtsvorschlag im Betrag von Fr. 1'584.40.</w:t>
      </w:r>
    </w:p>
    <w:p>
      <w:r>
        <w:t>Mit Entscheid vom 28. April 2021 wies das Kantonsgericht Wallis die von den Beschwerdeführern gegen das bezirksgerichtliche Urteil vom 26. Oktober 2020 erhobene Beschwerde ab, soweit es darauf eintrat, und bestätigte den angefochtenen Enscheid.</w:t>
      </w:r>
    </w:p>
    <w:p>
      <w:r>
        <w:t>Mit Eingabe vom 2. Juni 2021 erklärten die Beschwerdeführer dem Bundesgericht, den Entscheid des Kantonsgerichts Wallis vom 28. April 2021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Die Beschwerdeführer behaupten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3.1</w:t>
      </w:r>
    </w:p>
    <w:p>
      <w:r>
        <w:t>Die Beschwerde an das Bundesgericht ist nur gegen Entscheide letzter kantonaler Instanzen zulässig (Art. 75 Abs. 1 i.V.m. Art. 114 BGG ). Auf die Beschwerden ist daher von vornherein nicht einzutreten, soweit die Beschwerdeführer darin unmittelbar den Verfahrensablauf vor dem Friedensrichter sowie den Entscheid des Bezirksgerichts vom 26. Oktober 2020 kritisieren, da es sich dabei nicht um einen letztinstanzlichen Entscheid im Sinne von Art. 75 Abs. 1 BGG handelt.</w:t>
      </w:r>
    </w:p>
    <w:p>
      <w:r>
        <w:rPr>
          <w:b/>
        </w:rPr>
        <w:t>E. 3.2</w:t>
      </w:r>
    </w:p>
    <w:p>
      <w:r>
        <w:t>Die Eingabe der Beschwerdeführer vom 2. Juni 2021 erfüllt die genannten Begründungsanforderungen offensichtlich nicht. Sie zeigen nicht unter Bezugnahme auf die Erwägungen des angefochtenen Entscheids des Kantonsgerichts Wallis vom 28. April 2021 auf, inwiefern der Vorinstanz eine Verletzung verfassungsmässiger Rechte vorzuwerfen wäre. Vielmehr unterbreiten sie dem Bundesgericht in frei gehaltenen Ausführungen unter Berufung auf verschiedene Beilagen ihre Sicht der Dinge und weichen dabei vom vorinstanzlich verbindlich festgestellten Sachverhalt ab, ohne rechtsgenügend zu begründen, inwiefern dies nach Art. 118 Abs. 2 BGG zulässig sein soll. Sie bezeichnen den angefochtenen Entscheid zwar verschiedentlich als willkürlich, zeigen jedoch nicht hinreichend auf, inwiefern die Vorinstanz Art. 9 BV verletzt haben soll.</w:t>
      </w:r>
    </w:p>
    <w:p>
      <w:r>
        <w:t>Auf die Beschwerde ist somit mangels hinreichender Begründung nicht einzutreten ( Art. 108 Abs. 1 lit. b BGG ).</w:t>
      </w:r>
    </w:p>
    <w:p>
      <w:r>
        <w:rPr>
          <w:b/>
        </w:rPr>
        <w:t>E. 4</w:t>
      </w:r>
    </w:p>
    <w:p>
      <w:r>
        <w:t>Das Gesuch um Gewährung der unentgeltlichen Rechtspflege für das bundesgerichtliche Verfahren ist abzuweisen, weil die Beschwerde von vornherein aussichtslos war ( Art. 64 Abs. 1 BGG ). Die Beschwerdeführer werden bei diesem Verfahrensausgang unter solidarischer Haftbarkeit kostenpflichtig ( Art. 66 Abs. 1 und 5 BGG ). Den Beschwerdegegnern steht keine Parteientschädigung zu,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