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39/2023 vom 22. August 2023</w:t>
      </w:r>
    </w:p>
    <w:p>
      <w:r>
        <w:t>Bundesgericht, 2023-08-22, DE</w:t>
      </w:r>
    </w:p>
    <w:p>
      <w:r>
        <w:rPr>
          <w:b/>
        </w:rPr>
        <w:t xml:space="preserve">Quelle: </w:t>
      </w:r>
      <w:r>
        <w:t>https://mcp.opencaselaw.ch/entscheid/bger_4D_39_2023</w:t>
      </w:r>
    </w:p>
    <w:p>
      <w:r>
        <w:t>FR: TF 4D 39/2023 du 22 août 2023</w:t>
      </w:r>
    </w:p>
    <w:p>
      <w:r>
        <w:t>IT: TF 4D 39/2023 del 22 agosto 2023</w:t>
      </w:r>
    </w:p>
    <w:p>
      <w:pPr>
        <w:pStyle w:val="Heading2"/>
      </w:pPr>
      <w:r>
        <w:t>Regeste</w:t>
      </w:r>
    </w:p>
    <w:p>
      <w:r>
        <w:t>Forderung, | Vertragsrecht</w:t>
      </w:r>
    </w:p>
    <w:p>
      <w:pPr>
        <w:pStyle w:val="Heading2"/>
      </w:pPr>
      <w:r>
        <w:t>Erwägungen</w:t>
      </w:r>
    </w:p>
    <w:p>
      <w:r>
        <w:rPr>
          <w:b/>
        </w:rPr>
        <w:t>E. 1</w:t>
      </w:r>
    </w:p>
    <w:p>
      <w:r>
        <w:t>Mit Urteil vom 12. Oktober 2022 verpflichtete das Einzelgericht im vereinfachten Verfahren des Bezirksgerichts Uster die Beschwerdeführerin, der Beschwerdegegnerin den Betrag von Fr. 12'926.95 nebst Zins zu 5 % seit dem 31. August 2021 sowie Fr. 73.-- für Zahlungsbefehlskosten zu bezahlen. Die Beschwerdeführerin erhob gegen das bezirksgerichtliche Urteil vom 12. Oktober 2022 beim Obergericht des Kantons Zürich Berufung. Mit Verfügung vom 17. März 2023 setzte das Obergericht der Beschwerdeführerin Frist zur Leistung eines Kostenvorschusses von Fr. 2'240.-- an. Nachdem der Vorschuss innert Frist nicht eingegangen war, wurde der Beschwerdeführerin mit Verfügung vom 28. April 2023 eine Nachfrist von 10 Tagen zur Leistung des Kostenvorschusses angesetzt, verbunden mit der Androhung, dass bei Säumnis auf die Berufung nicht eingetreten werde. Nachdem der Kostenvorschuss auch innert der angesetzten Nachfrist nicht geleistet worden war, trat das Obergericht des Kantons Zürich mit Beschluss vom 12. Juni 2023 auf die Berufung der Beschwerdeführerin nicht ein. Mit Eingabe vom 10. Juli 2023 erklärte die Beschwerdeführerin dem Bundesgericht, den Beschluss des Obergerichts des Kantons Zürich vom 12. Juni 2023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der Beschwerdeführerin vom 10. Juli 2023 erfüllt die genannten Begründungsanforderungen offensichtlich nicht. Sie zeigt nicht unter Bezugnahme auf die Erwägungen des angefochtenen Entscheids des Obergerichts des Kantons Zürich vom 12. Juni 2023 auf, inwiefern die Vorinstanz mit ihrem Nichteintretensentscheid verfassungsmässige Rechte verletzt hätte, sondern unterbreitet dem Bundesgericht in unzulässiger Weise ihre eigene Sicht der Dinge. Insbesondere erhebt sie gegen die Feststellung im angefochtenen Entscheid, wonach ihr die Verfügung vom 28. April 2023 vor Ort nicht zugestellt werden konnte, weshalb ihr die Verfügung am 2. Mai 2023 zur Abholung avisiert wurde, keine hinreichende Sachverhaltsrüge, sondern lässt es bei der unbelegten Behauptung bewenden, eine Abholungsaufforderung sei nie hinterlegt worden. Auf die Beschwerde ist somit mangels hinreichender Begründung nicht einzutreten ( Art. 108 Abs. 1 lit. b BGG ).</w:t>
      </w:r>
    </w:p>
    <w:p>
      <w:r>
        <w:rPr>
          <w:b/>
        </w:rPr>
        <w:t>E. 3</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