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4D_39/2020 vom 10. Juli 2020</w:t>
      </w:r>
    </w:p>
    <w:p>
      <w:r>
        <w:t>Bundesgericht, 2020-07-10, DE</w:t>
      </w:r>
    </w:p>
    <w:p>
      <w:r>
        <w:rPr>
          <w:b/>
        </w:rPr>
        <w:t xml:space="preserve">Quelle: </w:t>
      </w:r>
      <w:r>
        <w:t>https://mcp.opencaselaw.ch/entscheid/bger_4D_39_2020</w:t>
      </w:r>
    </w:p>
    <w:p>
      <w:r>
        <w:t>FR: TF 4D_39/2020 du 10 juillet 2020</w:t>
      </w:r>
    </w:p>
    <w:p>
      <w:r>
        <w:t>IT: TF 4D_39/2020 del 10 luglio 2020</w:t>
      </w:r>
    </w:p>
    <w:p>
      <w:pPr>
        <w:pStyle w:val="Heading2"/>
      </w:pPr>
      <w:r>
        <w:t>Volltext</w:t>
      </w:r>
    </w:p>
    <w:p>
      <w:r>
        <w:t>Bundesgericht</w:t>
      </w:r>
    </w:p>
    <w:p>
      <w:r>
        <w:t>Tribunal fédéral</w:t>
      </w:r>
    </w:p>
    <w:p>
      <w:r>
        <w:t>Tribunale federale</w:t>
      </w:r>
    </w:p>
    <w:p>
      <w:r>
        <w:t>Tribunal federal</w:t>
      </w:r>
    </w:p>
    <w:p>
      <w:r>
        <w:t>4D_39/2020</w:t>
      </w:r>
    </w:p>
    <w:p>
      <w:r>
        <w:t>Urteil vom 10. Juli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w:t>
      </w:r>
    </w:p>
    <w:p>
      <w:r>
        <w:t>Gegenstand</w:t>
      </w:r>
    </w:p>
    <w:p>
      <w:r>
        <w:t>Mieterausweisung,</w:t>
      </w:r>
    </w:p>
    <w:p>
      <w:r>
        <w:t>Beschwerde gegen den Entscheid des Obergerichts des Kantons Schaffhausen, Einzelrichter, vom 5. Juni 2020 (40/2020/12/D).</w:t>
      </w:r>
    </w:p>
    <w:p>
      <w:r>
        <w:t>In Erwägung,</w:t>
      </w:r>
    </w:p>
    <w:p>
      <w:r>
        <w:t>dass das Kantonsgericht Schaffhausen den Beschwerdeführer mit Verfügung vom 28. April 2020 auf Gesuch des Beschwerdegegners im Verfahren für Rechtsschutz in klaren Fällen verpflichtete, die Stellfläche für Fahrzeuge an der U.________strasse in V.________ zu räumen und dem Beschwerdegegner ordnungsgemäss geräumt und gereinigt zu übergeben, unter Androhung des polizeilichen Zwangsvollzugs für den Fall der Nichtbefolgung;</w:t>
      </w:r>
    </w:p>
    <w:p>
      <w:r>
        <w:t>dass das Obergericht des Kantons Schaffhausen eine vom Beschwerdeführer dagegen erhobene Beschwerde mit Entscheid vom 5. Juni 2020 abwies, soweit es darauf eintrat;</w:t>
      </w:r>
    </w:p>
    <w:p>
      <w:r>
        <w:t>dass der Beschwerdeführer gegen diesen Entscheid mit Eingabe vom 1. Juli 2020 (Postaufgabe am 6. Juli 2020) beim Bundesgericht Beschwerde erhob;</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Vorinstanz im angefochtenen Entscheid erwog, der Beschwerdeführer stütze sich zur Begründung der gegen die Verfügung des Kantonsgerichts erhobenen Beschwerde ausschliesslich auf neue Tatsachenbehauptungen und Beweismittel, und er mache zu Recht nicht geltend, dass er im erstinstanzlichen Verfahren keine Gelegenheit zur Geltendmachung dieser Tatsachenbehauptungen und Beweismittel gehabt hätte; er sei daher mit seinen Vorbringen nicht mehr zu hören;</w:t>
      </w:r>
    </w:p>
    <w:p>
      <w:r>
        <w:t>dass der Beschwerdeführer offensichtlich keine hinreichend begründeten Rügen gegen den angefochtenen Entscheid erhebt, in denen er unter Auseinandersetzung mit diesen Erwägungen der Vorinstanz rechtsgenügend darlegen würde, welche Rechte die Vorinstanz inwiefern verletzt haben soll, indem sie seine Beschwerde gestützt auf diese Erwägungen abwies, soweit sie darauf eintrat;</w:t>
      </w:r>
    </w:p>
    <w:p>
      <w:r>
        <w:t>dass somit auf die Beschwerde nicht einzutreten ist, weil sie den genannten Begründungsanforderungen offensichtlich nicht genügt ( Art. 108 Abs. 1 lit. b BGG );</w:t>
      </w:r>
    </w:p>
    <w:p>
      <w:r>
        <w:t>dass die Gerichtskosten dem Ausgang des Verfahrens entsprechend dem Beschwerdeführer aufzuerlegen sind ( Art. 66 Abs. 1 BGG );</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des Kantons Schaffhausen, Einzelrichter, schriftlich mitgeteilt.</w:t>
      </w:r>
    </w:p>
    <w:p>
      <w:r>
        <w:t>Lausanne, 10. Juli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