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4D_38/2025 vom 2. April 2025</w:t>
      </w:r>
    </w:p>
    <w:p>
      <w:r>
        <w:t>Bundesgericht, 2025-04-02, DE</w:t>
      </w:r>
    </w:p>
    <w:p>
      <w:r>
        <w:rPr>
          <w:b/>
        </w:rPr>
        <w:t xml:space="preserve">Quelle: </w:t>
      </w:r>
      <w:r>
        <w:t>https://mcp.opencaselaw.ch/entscheid/bger_4D_38_2025</w:t>
      </w:r>
    </w:p>
    <w:p>
      <w:r>
        <w:t>FR: TF 4D_38/2025 du 2 avril 2025</w:t>
      </w:r>
    </w:p>
    <w:p>
      <w:r>
        <w:t>IT: TF 4D_38/2025 del 2 aprile 2025</w:t>
      </w:r>
    </w:p>
    <w:p>
      <w:pPr>
        <w:pStyle w:val="Heading2"/>
      </w:pPr>
      <w:r>
        <w:t>Erwägungen</w:t>
      </w:r>
    </w:p>
    <w:p>
      <w:r>
        <w:rPr>
          <w:b/>
        </w:rPr>
        <w:t>E. 1</w:t>
      </w:r>
    </w:p>
    <w:p>
      <w:r>
        <w:t>Am 28. Januar 2025 erteilte der Einzelrichter am Kreisgericht St. Gallen der Beschwerdegegnerin definitive Rechtsöffnung für Fr. 130.--, im Übrigen wies er das Rechtsöffnungsbegehren ab, soweit er darauf eintrat. Die dagegen erhobene Beschwerde wies das Kantonsgericht St. Gallen mit Entscheid vom 21. Februar 2025 ab, soweit es darauf eintrat.</w:t>
      </w:r>
    </w:p>
    <w:p>
      <w:r>
        <w:t>Gegen diesen Entscheid erhebt der Beschwerdeführer mit Eingabe vom 26. Februar 2025 Beschwerde an das Bundesgericht. Am 5. März und 7. März 2025 reichte er weitere Eingaben ein.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130.--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Der Beschwerdeführer behauptet zwar, dass der vorinstanzliche Entscheid gegen "grundlegende verfahrensrechtliche Prinzipien" verstosse und "schwerwiegende materielle sowie formelle Fehler" aufweise und schildert dazu seine rechtlichen Auffassungen. Er legt aber offensichtlich nicht rechtsgenüglich dar, worin die Rechtsfrage von grundsätzlicher Bedeutung liegen soll.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Eingaben des Beschwerdeführers erfüllen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w:t>
      </w:r>
    </w:p>
    <w:p>
      <w:r>
        <w:t>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