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4D_38/2024 vom 10. April 2024</w:t>
      </w:r>
    </w:p>
    <w:p>
      <w:r>
        <w:t>Bundesgericht, 2024-04-10, DE</w:t>
      </w:r>
    </w:p>
    <w:p>
      <w:r>
        <w:rPr>
          <w:b/>
        </w:rPr>
        <w:t xml:space="preserve">Quelle: </w:t>
      </w:r>
      <w:r>
        <w:t>https://mcp.opencaselaw.ch/entscheid/bger_4D_38_2024</w:t>
      </w:r>
    </w:p>
    <w:p>
      <w:r>
        <w:t>FR: TF 4D_38/2024 du 10 avril 2024</w:t>
      </w:r>
    </w:p>
    <w:p>
      <w:r>
        <w:t>IT: TF 4D_38/2024 del 10 aprile 2024</w:t>
      </w:r>
    </w:p>
    <w:p>
      <w:pPr>
        <w:pStyle w:val="Heading2"/>
      </w:pPr>
      <w:r>
        <w:t>Erwägungen</w:t>
      </w:r>
    </w:p>
    <w:p>
      <w:r>
        <w:rPr>
          <w:b/>
        </w:rPr>
        <w:t>E. 1.1</w:t>
      </w:r>
    </w:p>
    <w:p>
      <w:r>
        <w:t>Das Bezirksgericht Höfe erteilte am 11. Dezember 2023 B.________ definitive Rechtsöffnung in der Betreibung Nr. xxx des Betreibungsamtes Höfe gegen die A.________ AG (Beschwerdeführerin) für die Beträge von Fr. 29'636.35 nebst Zins zu 5% seit dem 19. Februar 2020, von Fr. 1'978.40 nebst Zins zu 5% seit dem 27. Juni 2023 und von Fr. 75.-- nebst Zins zu 5% seit dem 27. Juni 2023, abzüglich Fr. 7'272.70 nebst Zins zu 5% seit dem 27. Juni 2023.</w:t>
      </w:r>
    </w:p>
    <w:p>
      <w:r>
        <w:rPr>
          <w:b/>
        </w:rPr>
        <w:t>E. 1.2</w:t>
      </w:r>
    </w:p>
    <w:p>
      <w:r>
        <w:t>Gegen diese Verfügung erhob die Beschwerdeführerin Beschwerde beim Kantonsgericht Schwyz. Mit Verfügung vom 8. Februar 2024 trat das Kantonsgericht auf die Beschwerde nicht ein. Es erwog erstens, dass die D.________ AG, welche die Beschwerde einreichte, trotz Aufforderung keine Vollmacht der Beschwerdeführerin nachgereicht habe, weshalb die Beschwerde als nicht erfolgt zu gelten habe. Zweitens sei die am 23. Dezember 2023, 00:11:10 Uhr, elektronisch eingereichte Beschwerde nicht fristgerecht erfolgt. Drittens verfehle die Beschwerde die Anforderungen an eine hinreichende Begründung, indem sie eine Auseinandersetzung mit dem Rechtsöffnungsentscheid sowie konkrete Rechtsbegehren vermissen lasse.</w:t>
      </w:r>
    </w:p>
    <w:p>
      <w:r>
        <w:rPr>
          <w:b/>
        </w:rPr>
        <w:t>E. 1.3</w:t>
      </w:r>
    </w:p>
    <w:p>
      <w:r>
        <w:t>Am 11. März 2024 wurde beim Bundesgericht Beschwerde gegen die Verfügung des Kantonsgerichts Schwyz vom 8. Februar 2024 eingereicht. Die Beschwerde trägt die Signatur von C.________ im Namen der D.________ AG.</w:t>
      </w:r>
    </w:p>
    <w:p>
      <w:r>
        <w:t>Mit Eingabe vom 18. März 2024 erklärte C.________ im Namen der D.________ AG, dass die A.________ AG von der D.________ AG und nicht von C.________ vertreten werde.</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Die D.________ AG, U.________, ist nicht zur Vertretung der A.________ AG, U.________, befugt ( Art. 40 Abs. 1 BGG ). Die Eingabe auf Briefpapier und im Namen der D.________ AG wurde von C.________ unterzeichnet. Dieser ist gleichzeitig Verwaltungsratspräsident der A.________ AG. Aus den Bezügen in der Beschwerdeschrift und dem angefochtenen Urteil wird klar, dass die A.________ AG als Partei im vorinstanzlichen Verfahren bezüglich Rechtsöffnung beteiligt war und diese, handelnd durch ein Organ, innert Frist Beschwerde erhoben hat, wozu sie legitimiert ist.</w:t>
      </w:r>
    </w:p>
    <w:p>
      <w:r>
        <w:rPr>
          <w:b/>
        </w:rPr>
        <w:t>E. 2.2</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 ff. BGG offen.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2.5</w:t>
      </w:r>
    </w:p>
    <w:p>
      <w:r>
        <w:t>Die Eingabe der Beschwerdeführerin erfüllt die genannten Begründungsanforderungen offensichtlich nicht. Sie rügt zwar eine Verletzung von Art. 30 Abs. 1 BV und Art. 6 Ziff. 1 EMRK . Die Begründung beschränkt sich indes auf die pauschale Behauptung, dass rechtsstaatliche Prinzipien und Kontrollmechanismen ausgehöhlt worden seien, die Richter unter dem Diktat eines mächtigen "Clans" der Rechtsanwälte des Beschwerdegegners stünden und "unangekündigt und ohne Kontrolle" ein Urteil gefällt hätten. Mit diesen Vorbringen zeigt sie nicht unter Bezugnahme auf die vorinstanzlichen Erwägungen auf, inwiefern die Vorinstanz mit ihrem Entscheid verfassungsmässige Rechte verletzt hätte, sondern unterbreitet dem Bundesgericht in unzulässiger Weise ihre im Einzelnen unsachliche und in Teilen schwer nachvollziehbare Sicht der Dinge.</w:t>
      </w:r>
    </w:p>
    <w:p>
      <w:r>
        <w:t>Auf die Beschwerde ist somit mangels hinreichender Begründung nicht einzutreten (Art. 108 Abs. 1 lit. b i.V.m. Art. 117 BGG ).</w:t>
      </w:r>
    </w:p>
    <w:p>
      <w:r>
        <w:rPr>
          <w:b/>
        </w:rPr>
        <w:t>E. 3</w:t>
      </w:r>
    </w:p>
    <w:p>
      <w:r>
        <w:t>Die Beschwerdeführerin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