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4D_38/2023 vom 1. September 2023</w:t>
      </w:r>
    </w:p>
    <w:p>
      <w:r>
        <w:t>Bundesgericht, 2023-09-01, DE</w:t>
      </w:r>
    </w:p>
    <w:p>
      <w:r>
        <w:rPr>
          <w:b/>
        </w:rPr>
        <w:t xml:space="preserve">Quelle: </w:t>
      </w:r>
      <w:r>
        <w:t>https://mcp.opencaselaw.ch/entscheid/bger_4D_38_2023</w:t>
      </w:r>
    </w:p>
    <w:p>
      <w:r>
        <w:t>FR: TF 4D_38/2023 du 1 septembre 2023</w:t>
      </w:r>
    </w:p>
    <w:p>
      <w:r>
        <w:t>IT: TF 4D_38/2023 del 1 settembre 2023</w:t>
      </w:r>
    </w:p>
    <w:p>
      <w:pPr>
        <w:pStyle w:val="Heading2"/>
      </w:pPr>
      <w:r>
        <w:t>Erwägungen</w:t>
      </w:r>
    </w:p>
    <w:p>
      <w:r>
        <w:rPr>
          <w:b/>
        </w:rPr>
        <w:t>E. 1</w:t>
      </w:r>
    </w:p>
    <w:p>
      <w:r>
        <w:t>Am 5. April 2023 reichte der Beschwerdeführer beim Bezirksgericht Dietikon die erste und dritte Seite einer Klagebewilligung des Friedensrichteramtes der Stadt Dietikon vom 13. März 2023 nebst diversen weiteren Unterlagen ein. Mit Verfügung vom 27. April 2023 setzte das Bezirksgericht dem Beschwerdeführer Frist an, um einen vollständige Klagebewilligung einzureichen und um seine Klage zu verbessern. Am 6., 8. und 24. Mai 2023 erfolgten weitere Eingaben des Beschwerdeführers.</w:t>
      </w:r>
    </w:p>
    <w:p>
      <w:r>
        <w:t>Mit Verfügung vom 31. Mai 2023 schrieb das Bezirksgericht das Verfahren ab und auferlegte die Gerichtskosten von Fr. 300.-- dem Beschwerdeführer.</w:t>
      </w:r>
    </w:p>
    <w:p>
      <w:r>
        <w:t>Mit Beschluss vom 21. Juni 2023 trat das Obergericht des Kantons Zürich auf die vom Beschwerdeführer gegen die bezirksgerichtliche Verfügung vom 31. Mai 2023 eingereichte Rechtsmitteleingabe nicht ein.</w:t>
      </w:r>
    </w:p>
    <w:p>
      <w:r>
        <w:t>Mit Eingabe vom 30. Juni 2023 erklärte der Beschwerdeführer dem Bundesgericht, den Entscheid des Obergerichts des Kantons Zürich vom 21. Juni 2023 mit Beschwerde anfechten zu wollen.</w:t>
      </w:r>
    </w:p>
    <w:p>
      <w:r>
        <w:t>Am 8. und 10. Juli 2023 erfolgten weitere Eingaben des Beschwerdeführers.</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(Art. 106 Abs. 2 i.V.m. Art. 117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nicht hinreichend mit den Erwägungen des angefochtenen Entscheids des Obergerichts des Kantons Zürich vom 21. Juni 2023 auseinander. Seine Eingaben erfüllen die genannten Begründungsanforderungen offensichtlich nicht.</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